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582A3" w14:textId="77777777" w:rsidR="00105668" w:rsidRDefault="00105668" w:rsidP="00AB3D7F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B3D7F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9B349D" w:rsidRDefault="009B349D" w:rsidP="00AB3D7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B3D7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B3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Курсовая работа студента 2 курса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группы 162</w:t>
      </w:r>
    </w:p>
    <w:p w14:paraId="5BE25682" w14:textId="77777777" w:rsidR="00AA6633" w:rsidRPr="009D52F9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A6633" w:rsidRPr="009D52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74359D">
        <w:rPr>
          <w:rFonts w:ascii="Times New Roman" w:hAnsi="Times New Roman" w:cs="Times New Roman"/>
          <w:sz w:val="24"/>
          <w:szCs w:val="24"/>
        </w:rPr>
        <w:t>Ландер</w:t>
      </w:r>
      <w:proofErr w:type="spellEnd"/>
      <w:r w:rsidRPr="0074359D">
        <w:rPr>
          <w:rFonts w:ascii="Times New Roman" w:hAnsi="Times New Roman" w:cs="Times New Roman"/>
          <w:sz w:val="24"/>
          <w:szCs w:val="24"/>
        </w:rPr>
        <w:t xml:space="preserve"> ________________________ </w:t>
      </w:r>
    </w:p>
    <w:p w14:paraId="3C2F6F99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11613DBF" w14:textId="39851D6E" w:rsidR="00AA6633" w:rsidRPr="002B1A31" w:rsidRDefault="00AA6633" w:rsidP="002B1A31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  <w:sectPr w:rsidR="00AA6633" w:rsidRPr="002B1A31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E9024BA" w14:textId="77777777" w:rsidR="00AA6633" w:rsidRDefault="00AA6633" w:rsidP="002B1A31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74359D">
        <w:rPr>
          <w:rFonts w:ascii="Times New Roman" w:hAnsi="Times New Roman" w:cs="Times New Roman"/>
          <w:sz w:val="24"/>
          <w:szCs w:val="24"/>
        </w:rPr>
        <w:t xml:space="preserve"> __________ 2016 г.</w:t>
      </w:r>
    </w:p>
    <w:p w14:paraId="6994B87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6AAFDD9A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EndPr/>
      <w:sdtContent>
        <w:p w14:paraId="39392EF9" w14:textId="77777777" w:rsidR="00107BCA" w:rsidRPr="004865D9" w:rsidRDefault="00107BCA" w:rsidP="00AB3D7F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877D2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877D2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877D2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877D2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877D2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877D2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00AB3D7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1E697A5A" w14:textId="151D8A88" w:rsidR="00491389" w:rsidRPr="009D52F9" w:rsidRDefault="2B87C24A" w:rsidP="00491389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(лексико-семантическая типология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семантическая типология)</w:t>
      </w: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</w:t>
      </w:r>
      <w:r w:rsidR="00A97D5C" w:rsidRP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распределение семантических категорий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языках мира.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Мария 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Коптьевская</w:t>
      </w:r>
      <w:proofErr w:type="spellEnd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-Тамм определяет лексическую типологию как «кросс-лингвистическое исследование категоризации семантических </w:t>
      </w:r>
      <w:r w:rsidR="00EA4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полей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optjevskaja</w:t>
      </w:r>
      <w:proofErr w:type="spellEnd"/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Tamm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2016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Первыми работами в области лексической типологии были исследование 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Morgan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1871)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терминологии родства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Darwin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1872)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жестов-эмблем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исследования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Magnus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1877, 1880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обозначений и различения цветов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25C3E9" w14:textId="2A74E064" w:rsidR="785A0E1A" w:rsidRPr="00741DA1" w:rsidRDefault="785A0E1A" w:rsidP="00AB3D7F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максимально разнородных </w:t>
      </w:r>
      <w:proofErr w:type="spellStart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ареально</w:t>
      </w:r>
      <w:proofErr w:type="spellEnd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генетически (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Bell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1978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Однако на практике сбор таких данных сильно затруднён.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лексикон большинства языков мира достаточно бедно описан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грамматиках не обсуждаются значения слов</w:t>
      </w:r>
      <w:r w:rsidR="009205B8" w:rsidRP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стандарты описания слов в толковых и переводных словарях недостаточно </w:t>
      </w:r>
      <w:proofErr w:type="spellStart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формализованны</w:t>
      </w:r>
      <w:proofErr w:type="spellEnd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словарей как основного материала лексико-типологических исследований практически невозможно (хотя существуют исследования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применяющие такой подход –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Andersen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1978;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требуется работа с носителями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сбора данных о сочетаемости лексических единиц </w:t>
      </w:r>
      <w:proofErr w:type="spellStart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типологами</w:t>
      </w:r>
      <w:proofErr w:type="spell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невербальные стимулы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предлагающиеся носителям (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изображения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фотографии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реальные объекты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предметы определённого цвета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вкуса и запаха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обычных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от носителя требуется перевести словосочетание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более сложных фреймовых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(семантический фрейм – набор </w:t>
      </w:r>
      <w:proofErr w:type="spellStart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прототипических</w:t>
      </w:r>
      <w:proofErr w:type="spellEnd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ситуаций и контекстов</w:t>
      </w:r>
      <w:r w:rsidR="007F11C2" w:rsidRP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описывающих эти ситуации в тексте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и будут рассматриваться в данной работе)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затем предлагаются носителями для заполнения</w:t>
      </w:r>
      <w:r w:rsidR="00C92531" w:rsidRP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дополняющиеся корпусными исследованиями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параллельных текстов (переводов одного и того же текста)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опрос носителей -- достаточно трудоёмкий процесс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исследователям приходится ограничивать либо размер выборки языков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подробность их анализа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1B9975" w14:textId="27EA4907" w:rsidR="00D7756B" w:rsidRDefault="43042C5D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Одним из возможных способов решения этой методологической проблемы может стать частичная автоматизация процесса заполнения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разработанных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материале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словарей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языковых корпусов)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 предполагающая работы с носи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телями. Такой подход объединяет метод анкетирования и корпусные методы сбора материала для лексико-типологических исследований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005833" w14:textId="77777777" w:rsidR="00D7756B" w:rsidRDefault="00D7756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8EC7" w14:textId="77777777" w:rsidR="785A0E1A" w:rsidRPr="00741DA1" w:rsidRDefault="785A0E1A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F50BE" w14:textId="5914E682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09BAAE5E" w:rsidR="785A0E1A" w:rsidRPr="001D7EE7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 New Roman" w:eastAsia="Times New Roman" w:hAnsi="Times New Roman" w:cs="Times New Roman"/>
          <w:sz w:val="28"/>
          <w:szCs w:val="28"/>
        </w:rPr>
        <w:t>Younetal</w:t>
      </w:r>
      <w:proofErr w:type="spellEnd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2016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рассматривается возможность сопоставления лексики разных языков на основе автоматического анал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иза данных переводных словарей</w:t>
      </w:r>
      <w:r w:rsidR="00895910" w:rsidRP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статье исследуется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степень семантической близости 22 концептов из списка </w:t>
      </w:r>
      <w:proofErr w:type="spellStart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Сводеша</w:t>
      </w:r>
      <w:proofErr w:type="spellEnd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(обозначающих материальные сущности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небесные тела</w:t>
      </w:r>
      <w:r w:rsidR="00377D0B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природные явления и географические объекты) на материале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филогенетически и географически отдалённых языков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F3A51" w:rsidRPr="008F3A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концепты представляются в виде взвешенного графа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вершины – концепты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вес ребра между двумя концептами (он же семантическая близость между ними) – количество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языков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существует слово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обозначающее оба концепта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(эти слова находятся по переводным словарям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 процессе автоматической обработки словарей каждое слово делится на несколько </w:t>
      </w:r>
      <w:proofErr w:type="spellStart"/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ED1A77" w:rsidRP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относящихся к тому или иному концепту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метаязыков для описания </w:t>
      </w:r>
      <w:proofErr w:type="spellStart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выбраны английский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испанский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французский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немецкий и русский</w:t>
      </w:r>
      <w:r w:rsidR="008721AB" w:rsidRPr="00872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полностью автоматизированный лексико-типологический анализ значительного количества языков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03A98" w14:textId="6D54F284" w:rsidR="785A0E1A" w:rsidRPr="00B74B0B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Wälchli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Cysouw</w:t>
      </w:r>
      <w:proofErr w:type="spellEnd"/>
      <w:r w:rsidR="00F711A9" w:rsidRPr="00F711A9">
        <w:rPr>
          <w:rFonts w:ascii="Times" w:eastAsia="Times" w:hAnsi="Times" w:cs="Times"/>
          <w:sz w:val="28"/>
          <w:szCs w:val="28"/>
        </w:rPr>
        <w:t>,</w:t>
      </w:r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типологического анализа основных глаголов движения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«идти»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«входить»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«бежать»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«приходить» и т. д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автоматической обработки параллельного корпуса текстов</w:t>
      </w:r>
      <w:r w:rsidR="00B850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(перевод Евангелия от Марка)</w:t>
      </w:r>
      <w:r w:rsidR="00F71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100 языков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Выделяются 360 контекстов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могут быть употреблены глаголы движения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данная анкета автоматически заполняется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полученные результаты визуализируются (для визуализации использовался метод многомерного </w:t>
      </w:r>
      <w:proofErr w:type="spellStart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шкалирования</w:t>
      </w:r>
      <w:proofErr w:type="spellEnd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уменьшить размерность исходного пространства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потеряв как можно меньше информации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подробнее см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2011]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помогая определить семантическую близость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автоматизированное заполнение вероятностной семантической карты (близость между двумя контекстами указывает на вероятность того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 том или ином языке в них будет употреблено одно и то же слово)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B12D8" w14:textId="304AC596" w:rsidR="785A0E1A" w:rsidRPr="00BB138F" w:rsidRDefault="7A8B3A21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</w:t>
      </w:r>
      <w:r w:rsidR="00F711A9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2017]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указывается на недостатки существующих методов (словарные данные не очень надёжны в силу плохой сопоставимости словарей</w:t>
      </w:r>
      <w:r w:rsidR="00A15046" w:rsidRP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параллельные корпуса</w:t>
      </w:r>
      <w:r w:rsidR="00082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переводов одного и того же текста могут быть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достаточными для исследования базовой лексики</w:t>
      </w:r>
      <w:r w:rsidR="00A82CB0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использовать их для исследования любой другой семантической зоны крайне затруднительно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метод лексико-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Утверждается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каждая из этих задач может быть как минимум частично автоматизирована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Авторы действуют в рамках фреймового подхода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Рахилина</w:t>
      </w:r>
      <w:proofErr w:type="spellEnd"/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Резникова</w:t>
      </w:r>
      <w:proofErr w:type="spellEnd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разработанного Московской лексико-типологической группой (</w:t>
      </w:r>
      <w:proofErr w:type="spellStart"/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MLexT</w:t>
      </w:r>
      <w:proofErr w:type="spellEnd"/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 восходящего к работам Московской Семантической Школы (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Апресян 1974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подход подразумевает сравнительный анализ лексики через сопоставление их сочетаемостных свойств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чего вводится понятие фрейма – минимальной группы контекстов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которые может реагировать язык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выделяя для них специальную лексему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A16227" w14:textId="3E2012FB" w:rsidR="005F2A97" w:rsidRPr="00AE37D3" w:rsidRDefault="3D02B526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этого метода был разработан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автоматический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заполнения анкет на материале корпуса финского языка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A224A" w:rsidRP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Самыми удобными для автоматического заполнения анкет являются прилагательные</w:t>
      </w:r>
      <w:r w:rsidR="00EA224A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 как </w:t>
      </w:r>
      <w:r w:rsidR="005822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фрейма прилагательного достаточно учитывать только семантические особенности соо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тветствующего существительного 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Рахилина</w:t>
      </w:r>
      <w:proofErr w:type="spellEnd"/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2010]</w:t>
      </w:r>
      <w:r w:rsidR="000979E5" w:rsidRP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«золотого стандарта» для оценки качества работы алгоритмов использовались уже существующие составленные вручную анкеты для семантических полей «</w:t>
      </w:r>
      <w:r w:rsid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острый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27862" w:rsidRP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«толстый»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«тонкий» и «гладкий»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Кюсева</w:t>
      </w:r>
      <w:proofErr w:type="spellEnd"/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Козлов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</w:t>
      </w:r>
      <w:r w:rsidR="009F2D32" w:rsidRP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Кашкин</w:t>
      </w:r>
      <w:proofErr w:type="spellEnd"/>
      <w:r w:rsid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].</w:t>
      </w:r>
      <w:r w:rsidR="00333A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Русскоязычные и англоязычные анкеты использовались в качестве входных данных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D52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италоязычные заполнялись автоматически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5BF5F6" w14:textId="77777777" w:rsidR="005F2A97" w:rsidRPr="002E2144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2AB4E9" w14:textId="77777777" w:rsidR="7A8B3A21" w:rsidRDefault="7A8B3A21" w:rsidP="00AB3D7F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F063D4" w14:textId="7BAF85F0" w:rsidR="00333A49" w:rsidRPr="00333A49" w:rsidRDefault="785A0E1A" w:rsidP="00333A49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7735A322" w14:textId="3A367E32" w:rsidR="00D26157" w:rsidRPr="00D26157" w:rsidRDefault="00D26157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анкет Рыжовой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Ершова и Мельник была разработана программа для заполнения лексико-типологических анкет для финского языка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911F5A" w14:textId="27F503E0" w:rsidR="4400F943" w:rsidRDefault="43042C5D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(поля «толстый» и «тонкий» были объединены в одно поле «размер»)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 представляют собой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строках которой располагаются существительные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в столбцах изучаемые прилагательные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существительных и прилагательных ставится +</w:t>
      </w:r>
      <w:proofErr w:type="gramStart"/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378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</w:t>
      </w:r>
      <w:proofErr w:type="gramEnd"/>
      <w:r w:rsidR="002378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ячейка соответствует зафиксированному сочетанию</w:t>
      </w:r>
      <w:r w:rsidR="002378D3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те же данные представлены в другом виде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столбец записаны все засвидетельствованные сочетания с контекстом и примером употребления для каждого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A27B8B" w14:textId="6005683F" w:rsidR="00B662A9" w:rsidRPr="00676CD4" w:rsidRDefault="00B662A9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автоматического перевода существительных и прилагательных в анкете существуют два метода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машиночитаемые словари и онлайн-переводчики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 удобен прозрачностью (мы гарантированно получим нужное нам слово в начальной форме и нужной части речи)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 тем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 позволяет охватить большое количество языков (но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непрозрачен и менее точен</w:t>
      </w:r>
      <w:r w:rsidR="0043572D" w:rsidRP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перевод через словари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анкеты заполняются только для одного языка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выбран метод машиночитаемых словарей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CE3230" w14:textId="6B7C5875" w:rsidR="31666CA8" w:rsidRPr="00E2076F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</w:t>
      </w:r>
      <w:proofErr w:type="spellStart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краулер</w:t>
      </w:r>
      <w:proofErr w:type="spellEnd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losbe</w:t>
      </w:r>
      <w:proofErr w:type="spellEnd"/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 w:rsidR="0048741C" w:rsidRPr="0048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>онлайн-словарь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предоставляющий как переводы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так и примеры употребления каждого слова</w:t>
      </w:r>
      <w:r w:rsidR="0048741C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объём финско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английской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 xml:space="preserve"> части словаря составляет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 xml:space="preserve"> 360797 примеров и 31495658 предложений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2A25F" w14:textId="552A1386" w:rsidR="31666CA8" w:rsidRPr="00322C84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выбирались только прилагательные</w:t>
      </w:r>
      <w:r w:rsidR="009B66CD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финско-английский онлайн-словарь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Объём словаря составляет 7800124 слов и 7172581 перевод</w:t>
      </w:r>
      <w:r w:rsidR="00322C84" w:rsidRPr="009D5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040F" w14:textId="06C5D0BC" w:rsidR="4400F943" w:rsidRDefault="26EC84A6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заполнения анкет был выбран одноязычный корпус финского языка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 корпус, принадлежащий к семейству корпусов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Corpora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созданных путём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обкачивания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интернет-ресурсов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в корпус задавался на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Corpus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позволяющий задавать сложные запросы в корпус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учитывалась лемма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не словоформа слова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0D0FCC67" w:rsidR="005F2A97" w:rsidRDefault="003305E2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7B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совместной встречаемости в корпусе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items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million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4056376" w14:textId="438C8FF3" w:rsidR="00935035" w:rsidRPr="00CC4A05" w:rsidRDefault="00935035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написан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использовались библиотеки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urllib</w:t>
      </w:r>
      <w:proofErr w:type="spellEnd"/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(библиотеки для работы со ссылками и 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-страницами)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регулярными выражениями)</w:t>
      </w:r>
      <w:r w:rsid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xlsxwriter</w:t>
      </w:r>
      <w:proofErr w:type="spellEnd"/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таблицами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A1375" w:rsidRP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CD7D73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6E1A69" w14:textId="77777777" w:rsidR="00871A1F" w:rsidRPr="00C07B03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42C8F" w14:textId="0258C5A6" w:rsidR="4400F943" w:rsidRPr="00935035" w:rsidRDefault="4400F943" w:rsidP="00AB3D7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CC951" w14:textId="77777777" w:rsidR="00673253" w:rsidRPr="0067325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57BB615B" w14:textId="13E44E03" w:rsidR="00673253" w:rsidRDefault="00EE21B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оценки точности перевода слов каждое слово сравнивалось с</w:t>
      </w:r>
      <w:r w:rsidR="00F0119A" w:rsidRPr="00F0119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переводом из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Translate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существительных по семантическому профилю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«острый»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0.9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.028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(неправильно переведён «кол» -- как </w:t>
      </w:r>
      <w:proofErr w:type="spellStart"/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seiväs</w:t>
      </w:r>
      <w:proofErr w:type="spellEnd"/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(«полюс»)</w:t>
      </w:r>
      <w:r w:rsidR="002F51E2" w:rsidRPr="001B47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«каблук» -- как </w:t>
      </w:r>
      <w:proofErr w:type="spellStart"/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korko</w:t>
      </w:r>
      <w:proofErr w:type="spellEnd"/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«интерес»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),</w:t>
      </w:r>
      <w:r w:rsidR="00C357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взгляд» -- как </w:t>
      </w:r>
      <w:proofErr w:type="spellStart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kanta</w:t>
      </w:r>
      <w:proofErr w:type="spellEnd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(«акции»)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«нота» -- как </w:t>
      </w:r>
      <w:proofErr w:type="spellStart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nuotti</w:t>
      </w:r>
      <w:proofErr w:type="spellEnd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«примечание»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.071 (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слова «носок ботинка»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«бесцеремонность»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«цинизм»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«лечо»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«недосып»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«конфликт»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«синева»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«аппендицит»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«впечатлительность»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«глаза»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«размер»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D36E5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941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неправильно переведено «полоска» -- как </w:t>
      </w:r>
      <w:proofErr w:type="spellStart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juova</w:t>
      </w:r>
      <w:proofErr w:type="spellEnd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«рубец»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(слово «туфли»)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«гладкость»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46B86" w:rsidRPr="00BD7B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863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.015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неправильно переведено слово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«руки» -- как </w:t>
      </w:r>
      <w:proofErr w:type="spellStart"/>
      <w:r w:rsidR="00942100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käpälöidä</w:t>
      </w:r>
      <w:proofErr w:type="spellEnd"/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(«лапа»)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0.121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(слова «щёки»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«ступеньки»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стола»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озера»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«стулья»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«деревни»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«промежутки»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«течение реки»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1718785" w14:textId="6E7E9FAF" w:rsidR="00723B43" w:rsidRDefault="0067325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Данные анкет показывают</w:t>
      </w:r>
      <w:r w:rsidRPr="009D52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</w:t>
      </w:r>
      <w:r w:rsid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0AC0FBF5" w14:textId="517A04C8" w:rsidR="00723B43" w:rsidRDefault="00723B43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поля «острый» очень малая часть переводов прилагательных используется в финском при описании соответствующих семантических полей 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--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прилагательных из 17 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proofErr w:type="spellEnd"/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kirpe</w:t>
      </w:r>
      <w:proofErr w:type="spellEnd"/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rjekas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большей части контекстов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связанных с острыми объектами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употребляется прилагательное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 острыми поверхностями – прилагательное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Необычайно частотны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выражения «острая картинка»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kuva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2.12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в корпусе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«острое наказание»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rangaistus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1.</w:t>
      </w:r>
      <w:r w:rsidR="002B484F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43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и «острое исследование»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tutkimus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1.22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9F20943" w14:textId="41F0C211" w:rsidR="00CC4A05" w:rsidRDefault="00CC4A05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поля «размер»</w:t>
      </w:r>
    </w:p>
    <w:p w14:paraId="4C51DE84" w14:textId="0CE4C4EC" w:rsidR="00CC4A05" w:rsidRPr="00723B43" w:rsidRDefault="00CC4A05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поля «гладкость»</w:t>
      </w:r>
    </w:p>
    <w:p w14:paraId="2FD95872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249775B3" w14:textId="77777777" w:rsidR="00673253" w:rsidRPr="00EE21B3" w:rsidRDefault="00673253" w:rsidP="00AB3D7F">
      <w:pPr>
        <w:pStyle w:val="ListParagraph"/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DE7479" w14:textId="39ECA622" w:rsidR="1D2427EF" w:rsidRPr="00A437A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1046470E" w:rsidR="005F2A97" w:rsidRPr="00F14063" w:rsidRDefault="00A437A3" w:rsidP="00F14063">
      <w:pPr>
        <w:pStyle w:val="ListParagraph"/>
        <w:spacing w:after="0" w:line="360" w:lineRule="auto"/>
        <w:ind w:firstLine="696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Итак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мы провели эксперимент по автоматизации заполнения лексико-типологических анкет с семантическими полями «острый»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«размер» и «гладкость»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разработанных Рыжовой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Ершовым и Мельник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Задача автоматического заполнения анкеты состояла из двух этапов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перевод слов () и поиск встречаемости</w:t>
      </w:r>
      <w:bookmarkStart w:id="0" w:name="_GoBack"/>
      <w:bookmarkEnd w:id="0"/>
      <w:r w:rsid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B3C4553" w14:textId="77777777" w:rsidR="1D2427EF" w:rsidRDefault="1D2427EF" w:rsidP="00AB3D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669F9" w14:textId="77777777" w:rsidR="005F2A97" w:rsidRP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07C44CE" w14:textId="77777777" w:rsidR="005F2A97" w:rsidRPr="005F2A97" w:rsidRDefault="005F2A97" w:rsidP="005F2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AC4E22" w14:textId="77777777" w:rsidR="001A32FF" w:rsidRPr="001A32FF" w:rsidRDefault="00020B91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Andersen, E., 1978. Lexical universals of body-part terminology. In: Joseph H. Greenberg, ed., 1978. </w:t>
      </w:r>
      <w:r w:rsidRPr="001A32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Universals of human language.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Stanford: Stanford University Press, pp. 335–368.</w:t>
      </w:r>
    </w:p>
    <w:p w14:paraId="039DE990" w14:textId="14B6C4E5" w:rsidR="001A32FF" w:rsidRPr="001A32FF" w:rsidRDefault="001A32FF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</w:rPr>
        <w:t>Апресян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Ю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  <w:r w:rsidRPr="001A32FF">
        <w:rPr>
          <w:rFonts w:ascii="Times New Roman" w:hAnsi="Times New Roman" w:cs="Times New Roman"/>
          <w:sz w:val="28"/>
          <w:szCs w:val="28"/>
        </w:rPr>
        <w:t>Д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Лексическая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семантика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1A32FF">
        <w:rPr>
          <w:rFonts w:ascii="Times New Roman" w:hAnsi="Times New Roman" w:cs="Times New Roman"/>
          <w:sz w:val="28"/>
          <w:szCs w:val="28"/>
        </w:rPr>
        <w:t>синонимические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средства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языка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М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1A32FF">
        <w:rPr>
          <w:rFonts w:ascii="Times New Roman" w:hAnsi="Times New Roman" w:cs="Times New Roman"/>
          <w:sz w:val="28"/>
          <w:szCs w:val="28"/>
        </w:rPr>
        <w:t>Наука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, 1974. </w:t>
      </w:r>
    </w:p>
    <w:p w14:paraId="21B739E1" w14:textId="3B5517EF" w:rsidR="00647EE1" w:rsidRPr="00647EE1" w:rsidRDefault="00647EE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EE1">
        <w:rPr>
          <w:rFonts w:ascii="Times" w:hAnsi="Times"/>
          <w:sz w:val="28"/>
          <w:szCs w:val="28"/>
          <w:lang w:val="en-US"/>
        </w:rPr>
        <w:t xml:space="preserve">Bell A., 1978. Language samples. Universals of Human Language, Method and Theory. Greenberg J.H., Ferguson C.A.,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Moravcsik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E.A. (eds.). Stanford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Univ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Pres</w:t>
      </w:r>
      <w:r w:rsidRPr="009D52F9">
        <w:rPr>
          <w:rFonts w:ascii="Times" w:hAnsi="Times"/>
          <w:sz w:val="28"/>
          <w:szCs w:val="28"/>
          <w:lang w:val="en-US"/>
        </w:rPr>
        <w:t xml:space="preserve">s, 2. Palo Alto, CA. Vol 1: 123–156. </w:t>
      </w:r>
    </w:p>
    <w:p w14:paraId="74B2342E" w14:textId="77777777" w:rsidR="00686339" w:rsidRPr="00686339" w:rsidRDefault="00020B91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Brown, C.H., 2005a. Hand and arm. In: M.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522-525.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Brown, C.H., 2005b. Finger and hand. In: M. </w:t>
      </w:r>
      <w:proofErr w:type="spellStart"/>
      <w:r w:rsidRPr="00686339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526-529.</w:t>
      </w:r>
    </w:p>
    <w:p w14:paraId="4C84FA1D" w14:textId="50B5D65F" w:rsidR="00686339" w:rsidRPr="00686339" w:rsidRDefault="00686339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339">
        <w:rPr>
          <w:rFonts w:ascii="Times New Roman" w:hAnsi="Times New Roman" w:cs="Times New Roman"/>
          <w:sz w:val="28"/>
          <w:szCs w:val="28"/>
          <w:lang w:val="en-US"/>
        </w:rPr>
        <w:t>Cox T.F., Cox M.A.A, 2011. Multidimensional Scaling. Chapman and Hall.</w:t>
      </w:r>
    </w:p>
    <w:p w14:paraId="0F66D054" w14:textId="77777777" w:rsidR="00CD1B54" w:rsidRPr="009D52F9" w:rsidRDefault="002B1A31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B54">
        <w:rPr>
          <w:rFonts w:ascii="Times New Roman" w:hAnsi="Times New Roman" w:cs="Times New Roman"/>
          <w:sz w:val="28"/>
          <w:szCs w:val="28"/>
          <w:lang w:val="en-US"/>
        </w:rPr>
        <w:t>Darwin, C. 1965 [1872]. The expression of the emotions in man and animals. Chicago</w:t>
      </w:r>
      <w:r w:rsidRPr="009D52F9">
        <w:rPr>
          <w:rFonts w:ascii="Times New Roman" w:hAnsi="Times New Roman" w:cs="Times New Roman"/>
          <w:sz w:val="28"/>
          <w:szCs w:val="28"/>
        </w:rPr>
        <w:t xml:space="preserve">,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Chicago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</w:p>
    <w:p w14:paraId="3DD12277" w14:textId="77777777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Кашкин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Е.В. Языковая категоризация фактуры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поверхностеи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(типологическое исследование наименований качественных признаков в уральских языках).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Дисс.канд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филол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. наук. М.: МГУ, 2013. </w:t>
      </w:r>
    </w:p>
    <w:p w14:paraId="06C8A06B" w14:textId="37BF37EC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B54">
        <w:rPr>
          <w:rFonts w:ascii="Times New Roman" w:hAnsi="Times New Roman" w:cs="Times New Roman"/>
          <w:sz w:val="28"/>
          <w:szCs w:val="28"/>
        </w:rPr>
        <w:t xml:space="preserve">Козлов А.А.,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Кухто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Привизенцева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М.Ю. О реальности семантического поля: лексико-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типологическии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подход // В кн.: ACTA LINGUISTICA PETROPOLITANA. Труды Института лингвистических исследований РАН / Отв. редактор Н. Н.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Казанскии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̆. Т. XII. Ч. 2. Материалы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Десятои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конференции по типологии и грамматике для молодых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исследователеи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>̆ (2013 г.) / Отв. ред. тома Д.В. Герасимов. – СПб.: Наука, 2013. С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522-533. </w:t>
      </w:r>
    </w:p>
    <w:p w14:paraId="638152B2" w14:textId="77777777" w:rsidR="009F2D32" w:rsidRPr="00CD1B54" w:rsidRDefault="009551D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-Tamm M., </w:t>
      </w: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Rakhilina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and </w:t>
      </w:r>
      <w:proofErr w:type="spellStart"/>
      <w:proofErr w:type="gram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Vanhove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M.</w:t>
      </w:r>
      <w:proofErr w:type="gram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"The semantics of lexical typology", </w:t>
      </w: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Rimer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, Nick (ed.), The Routledge Handbook of Semantics.</w:t>
      </w:r>
    </w:p>
    <w:p w14:paraId="4E89890C" w14:textId="23C8A57C" w:rsidR="009F2D32" w:rsidRPr="009D52F9" w:rsidRDefault="009F2D3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32">
        <w:rPr>
          <w:rFonts w:ascii="Times New Roman" w:hAnsi="Times New Roman" w:cs="Times New Roman"/>
          <w:sz w:val="28"/>
          <w:szCs w:val="28"/>
        </w:rPr>
        <w:t>Кюсева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 xml:space="preserve"> М.В. Лексическая типология семантических сдвигов названий качественных признаков ‘</w:t>
      </w:r>
      <w:proofErr w:type="spellStart"/>
      <w:r w:rsidRPr="009F2D32">
        <w:rPr>
          <w:rFonts w:ascii="Times New Roman" w:hAnsi="Times New Roman" w:cs="Times New Roman"/>
          <w:sz w:val="28"/>
          <w:szCs w:val="28"/>
        </w:rPr>
        <w:t>острыи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>̆’ и ‘</w:t>
      </w:r>
      <w:proofErr w:type="spellStart"/>
      <w:r w:rsidRPr="009F2D32">
        <w:rPr>
          <w:rFonts w:ascii="Times New Roman" w:hAnsi="Times New Roman" w:cs="Times New Roman"/>
          <w:sz w:val="28"/>
          <w:szCs w:val="28"/>
        </w:rPr>
        <w:t>тупои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>̆’. Дипломная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D32">
        <w:rPr>
          <w:rFonts w:ascii="Times New Roman" w:hAnsi="Times New Roman" w:cs="Times New Roman"/>
          <w:sz w:val="28"/>
          <w:szCs w:val="28"/>
        </w:rPr>
        <w:t>работа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F2D32">
        <w:rPr>
          <w:rFonts w:ascii="Times New Roman" w:hAnsi="Times New Roman" w:cs="Times New Roman"/>
          <w:sz w:val="28"/>
          <w:szCs w:val="28"/>
        </w:rPr>
        <w:t>М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9F2D32">
        <w:rPr>
          <w:rFonts w:ascii="Times New Roman" w:hAnsi="Times New Roman" w:cs="Times New Roman"/>
          <w:sz w:val="28"/>
          <w:szCs w:val="28"/>
        </w:rPr>
        <w:t>МГУ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, 2012. </w:t>
      </w:r>
    </w:p>
    <w:p w14:paraId="42871AB3" w14:textId="77777777" w:rsidR="002B1A31" w:rsidRPr="009F2D32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Magnus, H. 1877. Die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geschichtliche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entwicklung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farbensinnes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[The historic development of the color sense]. Leipzig: Viet.</w:t>
      </w:r>
    </w:p>
    <w:p w14:paraId="60ED7A2E" w14:textId="7644A551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1880.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Untersuchungen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ueber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naturvoelker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[Investigations on the color sense of the primitive peoples]. Jena: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Fraher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9BCBD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Moore R., Donelson K., Eggleston A.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Bohnemeyer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2015 "Semantic typology: New approaches to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crosslinguistic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variation in language and cognition", Linguistics Vanguard 1(1): 189–200 </w:t>
      </w:r>
    </w:p>
    <w:p w14:paraId="03903D48" w14:textId="77777777" w:rsidR="00BB138F" w:rsidRDefault="009551D2" w:rsidP="00BB13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Morgan, L. H. 1871. Systems of consanguinity and affinity of the human family. Washington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Smithsonian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Contributions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103E5A" w14:textId="77777777" w:rsidR="002E2144" w:rsidRDefault="00BB138F" w:rsidP="002E21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Е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В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Резникова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Т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Фреи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>̆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мовыи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подход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к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лексическои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типологии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38F">
        <w:rPr>
          <w:rFonts w:ascii="Times New Roman" w:hAnsi="Times New Roman" w:cs="Times New Roman"/>
          <w:sz w:val="28"/>
          <w:szCs w:val="28"/>
        </w:rPr>
        <w:t xml:space="preserve">Вопросы языкознания. – 2013 –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B138F">
        <w:rPr>
          <w:rFonts w:ascii="Times New Roman" w:hAnsi="Times New Roman" w:cs="Times New Roman"/>
          <w:sz w:val="28"/>
          <w:szCs w:val="28"/>
        </w:rPr>
        <w:t xml:space="preserve"> 2: 3-31. </w:t>
      </w:r>
    </w:p>
    <w:p w14:paraId="61F679F0" w14:textId="3DD76A27" w:rsidR="002E2144" w:rsidRPr="002E2144" w:rsidRDefault="002E2144" w:rsidP="002E21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Е.В.,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Резникова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Т.И., Карпова О.С. Семантические переходы в атрибутивных конструкциях: метафора, метонимия и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Е.В. (ред.). Лингвистика конструкций. М.: Азбуковник, 2010. </w:t>
      </w:r>
    </w:p>
    <w:p w14:paraId="1669D74A" w14:textId="6EC8EC18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31">
        <w:rPr>
          <w:rFonts w:ascii="Times New Roman" w:eastAsia="Times New Roman" w:hAnsi="Times New Roman" w:cs="Times New Roman"/>
          <w:sz w:val="28"/>
          <w:szCs w:val="28"/>
        </w:rPr>
        <w:t>Рыжова Д.А., Ершов И.А., Мельник А.А., 2017 "Автоматический сбор данных для исследований по лексической типологии", Проблемы компьютерной лингвистики и типологии.</w:t>
      </w:r>
    </w:p>
    <w:p w14:paraId="0D3E6EA3" w14:textId="77777777" w:rsidR="009551D2" w:rsidRPr="002B1A31" w:rsidRDefault="785A0E1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Cysouw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427D2D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2012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"Lexical typology through similarity semantics: Toward a semantic map of motion verbs</w:t>
      </w:r>
    </w:p>
    <w:p w14:paraId="006CF16C" w14:textId="4342E01E" w:rsidR="005F2A97" w:rsidRPr="009551D2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Youna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Suttond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Smithc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Moorec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Wilkinsc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 F.,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Maddiesong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Croftg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W.,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Bhattacharyac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T., 2016. "On the universal structure of human lexical semantics", PNAS</w:t>
      </w:r>
      <w:r w:rsidR="005F2A97" w:rsidRPr="009551D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CE3BD55" w14:textId="77777777" w:rsidR="785A0E1A" w:rsidRPr="009551D2" w:rsidRDefault="785A0E1A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E59E6" w14:textId="77777777" w:rsid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BFCA28F" w14:textId="6F92A58C" w:rsidR="005F2A97" w:rsidRPr="00935035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 w:history="1">
        <w:r w:rsidR="009B66CD" w:rsidRPr="005F2A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https://github.com/vyhuholl/kr/blob/master/araneum%20crowler.py</w:t>
        </w:r>
      </w:hyperlink>
      <w:r w:rsidR="009B66CD" w:rsidRPr="005F2A97">
        <w:rPr>
          <w:rFonts w:ascii="Times New Roman" w:hAnsi="Times New Roman" w:cs="Times New Roman"/>
          <w:sz w:val="28"/>
          <w:szCs w:val="28"/>
        </w:rPr>
        <w:t xml:space="preserve"> </w:t>
      </w:r>
      <w:r w:rsidRPr="005F2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 w:history="1">
        <w:r w:rsidR="00935035" w:rsidRPr="0013110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https://github.com/vyhuholl/kr/blob/master/translate%20nouns.py</w:t>
        </w:r>
      </w:hyperlink>
      <w:r w:rsidR="00935035" w:rsidRPr="009350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B4E649" w14:textId="54940526" w:rsidR="005F2A97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9" w:history="1">
        <w:r w:rsidR="005F2A97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https://github.com/vyhuholl/kr/blob/master/nouns%20smooth.txt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B4B54" w14:textId="6369AA3E" w:rsidR="1D2427EF" w:rsidRPr="009B66CD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  <w:r w:rsidR="00CB6F90" w:rsidRP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https://github.com/vyhuholl/kr/blob/master/questionnaire_sharp.xlsx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size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smooth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  <w:proofErr w:type="spellEnd"/>
      </w:hyperlink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D2427EF" w:rsidRPr="009B66CD" w:rsidSect="00247FDB">
      <w:type w:val="continuous"/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2543"/>
    <w:multiLevelType w:val="hybridMultilevel"/>
    <w:tmpl w:val="DD28E09A"/>
    <w:lvl w:ilvl="0" w:tplc="61D6C5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20B91"/>
    <w:rsid w:val="000339CE"/>
    <w:rsid w:val="00046B86"/>
    <w:rsid w:val="000670C4"/>
    <w:rsid w:val="00067A37"/>
    <w:rsid w:val="00072AF5"/>
    <w:rsid w:val="000823CC"/>
    <w:rsid w:val="000979E5"/>
    <w:rsid w:val="000B7DEC"/>
    <w:rsid w:val="000D36E5"/>
    <w:rsid w:val="000F1391"/>
    <w:rsid w:val="000F613F"/>
    <w:rsid w:val="00105668"/>
    <w:rsid w:val="00107BCA"/>
    <w:rsid w:val="001169AF"/>
    <w:rsid w:val="0015230F"/>
    <w:rsid w:val="00153831"/>
    <w:rsid w:val="001A32FF"/>
    <w:rsid w:val="001B477D"/>
    <w:rsid w:val="001D7EE7"/>
    <w:rsid w:val="002378D3"/>
    <w:rsid w:val="00247FDB"/>
    <w:rsid w:val="002613A2"/>
    <w:rsid w:val="002648CE"/>
    <w:rsid w:val="0029790A"/>
    <w:rsid w:val="002A4895"/>
    <w:rsid w:val="002B1A31"/>
    <w:rsid w:val="002B45C5"/>
    <w:rsid w:val="002B484F"/>
    <w:rsid w:val="002E2144"/>
    <w:rsid w:val="002F19C1"/>
    <w:rsid w:val="002F51E2"/>
    <w:rsid w:val="00322C84"/>
    <w:rsid w:val="003305E2"/>
    <w:rsid w:val="00333A49"/>
    <w:rsid w:val="00377D0B"/>
    <w:rsid w:val="003863D3"/>
    <w:rsid w:val="003B2E6C"/>
    <w:rsid w:val="003C65D5"/>
    <w:rsid w:val="00427D2D"/>
    <w:rsid w:val="0043572D"/>
    <w:rsid w:val="00456A04"/>
    <w:rsid w:val="0048741C"/>
    <w:rsid w:val="00491389"/>
    <w:rsid w:val="004F2C86"/>
    <w:rsid w:val="00514519"/>
    <w:rsid w:val="0054247E"/>
    <w:rsid w:val="00562EE7"/>
    <w:rsid w:val="00582217"/>
    <w:rsid w:val="005F2A97"/>
    <w:rsid w:val="00647EE1"/>
    <w:rsid w:val="00671EDA"/>
    <w:rsid w:val="00673253"/>
    <w:rsid w:val="00676CD4"/>
    <w:rsid w:val="00686339"/>
    <w:rsid w:val="006D4AC4"/>
    <w:rsid w:val="0070097B"/>
    <w:rsid w:val="00702544"/>
    <w:rsid w:val="00723B43"/>
    <w:rsid w:val="00723C37"/>
    <w:rsid w:val="00736D51"/>
    <w:rsid w:val="00741DA1"/>
    <w:rsid w:val="00780F54"/>
    <w:rsid w:val="007A1375"/>
    <w:rsid w:val="007F11C2"/>
    <w:rsid w:val="00822EB2"/>
    <w:rsid w:val="00871A1F"/>
    <w:rsid w:val="008721AB"/>
    <w:rsid w:val="00877D2D"/>
    <w:rsid w:val="00895910"/>
    <w:rsid w:val="008A6AF9"/>
    <w:rsid w:val="008E4C78"/>
    <w:rsid w:val="008F3A51"/>
    <w:rsid w:val="009205B8"/>
    <w:rsid w:val="0092330B"/>
    <w:rsid w:val="00935035"/>
    <w:rsid w:val="00942100"/>
    <w:rsid w:val="009434DF"/>
    <w:rsid w:val="009551D2"/>
    <w:rsid w:val="00967102"/>
    <w:rsid w:val="009826D1"/>
    <w:rsid w:val="00996DB2"/>
    <w:rsid w:val="009B349D"/>
    <w:rsid w:val="009B66CD"/>
    <w:rsid w:val="009D52F9"/>
    <w:rsid w:val="009E4226"/>
    <w:rsid w:val="009F2D32"/>
    <w:rsid w:val="00A15046"/>
    <w:rsid w:val="00A17CB8"/>
    <w:rsid w:val="00A437A3"/>
    <w:rsid w:val="00A53F0F"/>
    <w:rsid w:val="00A603EF"/>
    <w:rsid w:val="00A6598D"/>
    <w:rsid w:val="00A82CB0"/>
    <w:rsid w:val="00A97D5C"/>
    <w:rsid w:val="00AA6633"/>
    <w:rsid w:val="00AB3930"/>
    <w:rsid w:val="00AB3D7F"/>
    <w:rsid w:val="00AE2A92"/>
    <w:rsid w:val="00AE37D3"/>
    <w:rsid w:val="00AF6924"/>
    <w:rsid w:val="00B02BAC"/>
    <w:rsid w:val="00B662A9"/>
    <w:rsid w:val="00B74B0B"/>
    <w:rsid w:val="00B84873"/>
    <w:rsid w:val="00B850AC"/>
    <w:rsid w:val="00BB138F"/>
    <w:rsid w:val="00BD7B29"/>
    <w:rsid w:val="00BE4446"/>
    <w:rsid w:val="00BE708F"/>
    <w:rsid w:val="00C07B03"/>
    <w:rsid w:val="00C357FC"/>
    <w:rsid w:val="00C92531"/>
    <w:rsid w:val="00CB6F90"/>
    <w:rsid w:val="00CC4A05"/>
    <w:rsid w:val="00CD1B54"/>
    <w:rsid w:val="00CF0D05"/>
    <w:rsid w:val="00CF597B"/>
    <w:rsid w:val="00D26157"/>
    <w:rsid w:val="00D27862"/>
    <w:rsid w:val="00D7756B"/>
    <w:rsid w:val="00D81200"/>
    <w:rsid w:val="00DB32C5"/>
    <w:rsid w:val="00DC39FA"/>
    <w:rsid w:val="00DD5024"/>
    <w:rsid w:val="00DF3B68"/>
    <w:rsid w:val="00E2076F"/>
    <w:rsid w:val="00E87EB2"/>
    <w:rsid w:val="00EA224A"/>
    <w:rsid w:val="00EA4559"/>
    <w:rsid w:val="00ED1A77"/>
    <w:rsid w:val="00EE21B3"/>
    <w:rsid w:val="00F0119A"/>
    <w:rsid w:val="00F11107"/>
    <w:rsid w:val="00F14063"/>
    <w:rsid w:val="00F140D6"/>
    <w:rsid w:val="00F711A9"/>
    <w:rsid w:val="00FB12BA"/>
    <w:rsid w:val="00FB2DD6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6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12" Type="http://schemas.openxmlformats.org/officeDocument/2006/relationships/hyperlink" Target="https://github.com/vyhuholl/kr/blob/master/questionnaire_smooth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translate%20nouns.py" TargetMode="External"/><Relationship Id="rId11" Type="http://schemas.openxmlformats.org/officeDocument/2006/relationships/hyperlink" Target="https://github.com/vyhuholl/kr/blob/master/questionnaire_size.xlsx" TargetMode="External"/><Relationship Id="rId5" Type="http://schemas.openxmlformats.org/officeDocument/2006/relationships/hyperlink" Target="https://github.com/vyhuholl/kr/blob/master/araneum%20crowler.py" TargetMode="External"/><Relationship Id="rId10" Type="http://schemas.openxmlformats.org/officeDocument/2006/relationships/hyperlink" Target="https://github.com/vyhuholl/kr/blob/master/questionnaire_shar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huholl/kr/blob/master/nouns%20smooth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1992</Words>
  <Characters>14566</Characters>
  <Application>Microsoft Office Word</Application>
  <DocSecurity>0</DocSecurity>
  <Lines>302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82</cp:revision>
  <dcterms:created xsi:type="dcterms:W3CDTF">2018-05-05T22:05:00Z</dcterms:created>
  <dcterms:modified xsi:type="dcterms:W3CDTF">2018-05-13T01:32:00Z</dcterms:modified>
</cp:coreProperties>
</file>