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hhszrjc70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Level 2: AML – Intermediate Practical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1: Money Laundering Typologies and Sector-Specific Risks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Sector Risks (Retail, Commercial, Private)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Finance, Card Products, Shell Companies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in Insurance, Securities, and Cryptoassets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Example: “Nuvafin Securities” – Misuse of Investment Products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2: Advanced Regulatory Frameworks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Dive: FATF Recommendations (1–40)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FATF Immediate Outcomes and Mutual Evaluations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 Regulations in Key Jurisdictions (UK, EU, Singapore, UAE)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Privacy, GDPR, and AML Intersection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Example: “OceanTrust Europe” – Cross-Border AML Failures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3: Designing an Effective AML Program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AML Controls and Risk Assessment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Controls and Independent Audit Functions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 Monitoring Technology Overview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Example: “PayPulse Asia” – AML System Gaps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4: Role of KYC and EDD in AML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EDD for PEPs and High-Risk Jurisdictions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in Correspondent Banking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Beneficial Ownership Structures and Control Checks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5: Ongoing Due Diligence and Transaction Monitoring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Monitoring Techniques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Cycles and Alert Triggers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Pattern Analysis and Behavior Scoring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Example: “Capstone Exchange” – Static Volume Laundering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Assessments (Intermediate)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MCQs per Module (Intermediate Difficulty)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Case-Based Exercises (e.g., Nuvafin and OceanTrust scenarios)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Transaction Monitoring Exercises (High-value wires, card anomalies)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Task: Build a Risk Rating Profile for a Corporate Client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Assessment: 25-question MCQ + 1 Full Transaction Analysis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2eadce4kf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Level 2: AML – Intermediate Practical Guide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60–70 hours (recommended over 8 weeks)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q5ku63hh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1: Money Laundering Typologies and Sector-Specific Risks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Banking Sector Risks</w:t>
        <w:br w:type="textWrapping"/>
      </w:r>
      <w:r w:rsidDel="00000000" w:rsidR="00000000" w:rsidRPr="00000000">
        <w:rPr>
          <w:rtl w:val="0"/>
        </w:rPr>
        <w:t xml:space="preserve">Retail banking vulnerabilities (structuring, smurfing)</w:t>
        <w:br w:type="textWrapping"/>
        <w:t xml:space="preserve">Commercial banking risks (trade-based laundering, cash-intensive businesses)</w:t>
        <w:br w:type="textWrapping"/>
        <w:t xml:space="preserve">Private banking risks (wealth concealment, offshore accounts)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 Finance Risks</w:t>
        <w:br w:type="textWrapping"/>
      </w:r>
      <w:r w:rsidDel="00000000" w:rsidR="00000000" w:rsidRPr="00000000">
        <w:rPr>
          <w:rtl w:val="0"/>
        </w:rPr>
        <w:t xml:space="preserve">Common laundering techniques in trade finance</w:t>
        <w:br w:type="textWrapping"/>
        <w:t xml:space="preserve">Use of falsified documents and phantom shipments</w:t>
        <w:br w:type="textWrapping"/>
        <w:t xml:space="preserve">Red flags in import/export activity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 Products &amp; Shell Companies</w:t>
        <w:br w:type="textWrapping"/>
      </w:r>
      <w:r w:rsidDel="00000000" w:rsidR="00000000" w:rsidRPr="00000000">
        <w:rPr>
          <w:rtl w:val="0"/>
        </w:rPr>
        <w:t xml:space="preserve">Prepaid cards, gift cards, and stored value instruments</w:t>
        <w:br w:type="textWrapping"/>
        <w:t xml:space="preserve">Anonymous corporate structures and nominee directors</w:t>
        <w:br w:type="textWrapping"/>
        <w:t xml:space="preserve">Offshore jurisdictions and secrecy laws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Risks in Insurance, Securities, and Cryptoassets</w:t>
        <w:br w:type="textWrapping"/>
      </w:r>
      <w:r w:rsidDel="00000000" w:rsidR="00000000" w:rsidRPr="00000000">
        <w:rPr>
          <w:rtl w:val="0"/>
        </w:rPr>
        <w:t xml:space="preserve">Life insurance and policy laundering</w:t>
        <w:br w:type="textWrapping"/>
        <w:t xml:space="preserve">Securities market manipulation for layering</w:t>
        <w:br w:type="textWrapping"/>
        <w:t xml:space="preserve">Cryptoasset anonymity and VASP vulnerabilities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Example – “Nuvafin Securities”</w:t>
        <w:br w:type="textWrapping"/>
      </w:r>
      <w:r w:rsidDel="00000000" w:rsidR="00000000" w:rsidRPr="00000000">
        <w:rPr>
          <w:rtl w:val="0"/>
        </w:rPr>
        <w:t xml:space="preserve">Facts of the case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Identified red flags</w:t>
        <w:br w:type="textWrapping"/>
        <w:t xml:space="preserve">Lessons learned for AML compliance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m5msxej1d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2: Advanced Regulatory Frameworks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FATF Recommendations (1–40)</w:t>
        <w:br w:type="textWrapping"/>
      </w:r>
      <w:r w:rsidDel="00000000" w:rsidR="00000000" w:rsidRPr="00000000">
        <w:rPr>
          <w:rtl w:val="0"/>
        </w:rPr>
        <w:t xml:space="preserve">Overview and thematic grouping (preventive, transparency, international cooperation)</w:t>
        <w:br w:type="textWrapping"/>
        <w:t xml:space="preserve">Key recommendations for financial institutions and DNFBPs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FATF Immediate Outcomes &amp; Mutual Evaluations</w:t>
        <w:br w:type="textWrapping"/>
      </w:r>
      <w:r w:rsidDel="00000000" w:rsidR="00000000" w:rsidRPr="00000000">
        <w:rPr>
          <w:rtl w:val="0"/>
        </w:rPr>
        <w:t xml:space="preserve">Understanding the 11 Immediate Outcomes</w:t>
        <w:br w:type="textWrapping"/>
        <w:t xml:space="preserve">How countries are assessed for effectiveness</w:t>
        <w:br w:type="textWrapping"/>
        <w:t xml:space="preserve">Common findings and areas of weakness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AML Regulations in Key Jurisdictions</w:t>
        <w:br w:type="textWrapping"/>
      </w:r>
      <w:r w:rsidDel="00000000" w:rsidR="00000000" w:rsidRPr="00000000">
        <w:rPr>
          <w:rtl w:val="0"/>
        </w:rPr>
        <w:t xml:space="preserve">UK Money Laundering Regulations and FCA oversight</w:t>
        <w:br w:type="textWrapping"/>
        <w:t xml:space="preserve">EU AMLD framework and AMLA authority. Singapore MAS notices and guidelines.</w:t>
        <w:br w:type="textWrapping"/>
        <w:t xml:space="preserve">UAE AML Decree-Law and Central Bank guidance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Privacy &amp; AML Intersection</w:t>
        <w:br w:type="textWrapping"/>
      </w:r>
      <w:r w:rsidDel="00000000" w:rsidR="00000000" w:rsidRPr="00000000">
        <w:rPr>
          <w:rtl w:val="0"/>
        </w:rPr>
        <w:t xml:space="preserve">GDPR principles and lawful basis for AML data processing</w:t>
        <w:br w:type="textWrapping"/>
        <w:t xml:space="preserve">Cross-border data sharing challenges</w:t>
        <w:br w:type="textWrapping"/>
        <w:t xml:space="preserve">Balancing compliance and privacy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Example – “OceanTrust Europe”</w:t>
        <w:br w:type="textWrapping"/>
      </w:r>
      <w:r w:rsidDel="00000000" w:rsidR="00000000" w:rsidRPr="00000000">
        <w:rPr>
          <w:rtl w:val="0"/>
        </w:rPr>
        <w:t xml:space="preserve">Background and regulatory breaches</w:t>
        <w:br w:type="textWrapping"/>
        <w:t xml:space="preserve">Impact of poor cross-border coordination</w:t>
        <w:br w:type="textWrapping"/>
        <w:t xml:space="preserve">Compliance remediation steps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5nekrd3n3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3: Designing an Effective AML Program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AML Controls &amp; Risk Assessment</w:t>
        <w:br w:type="textWrapping"/>
      </w:r>
      <w:r w:rsidDel="00000000" w:rsidR="00000000" w:rsidRPr="00000000">
        <w:rPr>
          <w:rtl w:val="0"/>
        </w:rPr>
        <w:t xml:space="preserve">Risk-based approach methodologies</w:t>
        <w:br w:type="textWrapping"/>
        <w:t xml:space="preserve">Customer risk profiling and scoring models</w:t>
        <w:br w:type="textWrapping"/>
        <w:t xml:space="preserve">Geographic and product/service risk evaluation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Internal Controls &amp; Independent Audit Functions</w:t>
        <w:br w:type="textWrapping"/>
      </w:r>
      <w:r w:rsidDel="00000000" w:rsidR="00000000" w:rsidRPr="00000000">
        <w:rPr>
          <w:rtl w:val="0"/>
        </w:rPr>
        <w:t xml:space="preserve">AML governance structures</w:t>
        <w:br w:type="textWrapping"/>
        <w:t xml:space="preserve">Role of compliance officers</w:t>
        <w:br w:type="textWrapping"/>
        <w:t xml:space="preserve">Independent review scope and frequency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AML Monitoring Technology Overview</w:t>
        <w:br w:type="textWrapping"/>
      </w:r>
      <w:r w:rsidDel="00000000" w:rsidR="00000000" w:rsidRPr="00000000">
        <w:rPr>
          <w:rtl w:val="0"/>
        </w:rPr>
        <w:t xml:space="preserve">Transaction monitoring systems (TMS)</w:t>
        <w:br w:type="textWrapping"/>
        <w:t xml:space="preserve">Machine learning vs. rules-based detection</w:t>
        <w:br w:type="textWrapping"/>
        <w:t xml:space="preserve">False positives management and alert prioritization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Example – “PayPulse Asia”</w:t>
        <w:br w:type="textWrapping"/>
      </w:r>
      <w:r w:rsidDel="00000000" w:rsidR="00000000" w:rsidRPr="00000000">
        <w:rPr>
          <w:rtl w:val="0"/>
        </w:rPr>
        <w:t xml:space="preserve">Gaps in monitoring setup</w:t>
        <w:br w:type="textWrapping"/>
        <w:t xml:space="preserve">Missed high-risk transactions</w:t>
        <w:br w:type="textWrapping"/>
        <w:t xml:space="preserve">Technology remediation plan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hvjsauax1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4: Role of KYC and EDD in AML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EDD for PEPs &amp; High-Risk Jurisdictions</w:t>
        <w:br w:type="textWrapping"/>
      </w:r>
      <w:r w:rsidDel="00000000" w:rsidR="00000000" w:rsidRPr="00000000">
        <w:rPr>
          <w:rtl w:val="0"/>
        </w:rPr>
        <w:t xml:space="preserve">Identifying politically exposed persons</w:t>
        <w:br w:type="textWrapping"/>
        <w:t xml:space="preserve">Verifying source of wealth and funds</w:t>
        <w:br w:type="textWrapping"/>
        <w:t xml:space="preserve">Enhanced monitoring measures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KYC in Correspondent Banking</w:t>
        <w:br w:type="textWrapping"/>
      </w:r>
      <w:r w:rsidDel="00000000" w:rsidR="00000000" w:rsidRPr="00000000">
        <w:rPr>
          <w:rtl w:val="0"/>
        </w:rPr>
        <w:t xml:space="preserve">Risks in foreign correspondent relationships</w:t>
        <w:br w:type="textWrapping"/>
        <w:t xml:space="preserve">Nested accounts and payable-through accounts</w:t>
        <w:br w:type="textWrapping"/>
        <w:t xml:space="preserve">Due diligence documentation and verification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Beneficial Ownership &amp; Control Checks</w:t>
        <w:br w:type="textWrapping"/>
      </w:r>
      <w:r w:rsidDel="00000000" w:rsidR="00000000" w:rsidRPr="00000000">
        <w:rPr>
          <w:rtl w:val="0"/>
        </w:rPr>
        <w:t xml:space="preserve">Identifying ultimate beneficial owners (UBOs)</w:t>
        <w:br w:type="textWrapping"/>
        <w:t xml:space="preserve">Unwinding complex corporate structures</w:t>
        <w:br w:type="textWrapping"/>
        <w:t xml:space="preserve">Common evasion techniques and red flags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hasacep6n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5: Ongoing Due Diligence and Transaction Monitoring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Monitoring Techniques</w:t>
        <w:br w:type="textWrapping"/>
      </w:r>
      <w:r w:rsidDel="00000000" w:rsidR="00000000" w:rsidRPr="00000000">
        <w:rPr>
          <w:rtl w:val="0"/>
        </w:rPr>
        <w:t xml:space="preserve">Event-driven reviews (triggers, alerts)</w:t>
        <w:br w:type="textWrapping"/>
        <w:t xml:space="preserve">Periodic review schedules based on risk tier</w:t>
        <w:br w:type="textWrapping"/>
        <w:t xml:space="preserve">Integration of monitoring and KYC updates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Cycles &amp; Alert Triggers</w:t>
        <w:br w:type="textWrapping"/>
      </w:r>
      <w:r w:rsidDel="00000000" w:rsidR="00000000" w:rsidRPr="00000000">
        <w:rPr>
          <w:rtl w:val="0"/>
        </w:rPr>
        <w:t xml:space="preserve">Threshold-based alerts</w:t>
        <w:br w:type="textWrapping"/>
        <w:t xml:space="preserve">Behavioral anomalies</w:t>
        <w:br w:type="textWrapping"/>
        <w:t xml:space="preserve">Reputational risk indicators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Volume Pattern Analysis &amp; Behavior Scoring</w:t>
        <w:br w:type="textWrapping"/>
      </w:r>
      <w:r w:rsidDel="00000000" w:rsidR="00000000" w:rsidRPr="00000000">
        <w:rPr>
          <w:rtl w:val="0"/>
        </w:rPr>
        <w:t xml:space="preserve">Detection of structuring and rapid movement of funds</w:t>
        <w:br w:type="textWrapping"/>
        <w:t xml:space="preserve">Seasonality and transaction trend analysis</w:t>
        <w:br w:type="textWrapping"/>
        <w:t xml:space="preserve">Customer behavior scoring models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Example – “Capstone Exchange”</w:t>
        <w:br w:type="textWrapping"/>
      </w:r>
      <w:r w:rsidDel="00000000" w:rsidR="00000000" w:rsidRPr="00000000">
        <w:rPr>
          <w:rtl w:val="0"/>
        </w:rPr>
        <w:t xml:space="preserve">Detection of static volume laundering</w:t>
        <w:br w:type="textWrapping"/>
        <w:t xml:space="preserve">Missed triggers and system deficiencies</w:t>
        <w:br w:type="textWrapping"/>
        <w:t xml:space="preserve">Process improvement measures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