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80" w:before="480"/>
        <w:ind w:left="240" w:right="240"/>
        <w:jc w:val="center"/>
      </w:pPr>
      <w:r>
        <w:rPr>
          <w:rFonts w:ascii="Arial" w:cs="Arial" w:eastAsia="Arial" w:hAnsi="Arial"/>
          <w:b/>
          <w:bCs/>
          <w:color w:val="FFFFFF"/>
          <w:sz w:val="72"/>
          <w:szCs w:val="72"/>
        </w:rPr>
        <w:t xml:space="preserve">AuditAI</w:t>
      </w:r>
    </w:p>
    <w:p>
      <w:pPr>
        <w:shd w:fill="1E3A5F" w:val="clear"/>
        <w:spacing w:after="0" w:before="0"/>
        <w:ind w:left="240" w:right="240"/>
        <w:jc w:val="center"/>
      </w:pPr>
      <w:r>
        <w:rPr>
          <w:rFonts w:ascii="Arial" w:cs="Arial" w:eastAsia="Arial" w:hAnsi="Arial"/>
          <w:color w:val="9EC8F0"/>
          <w:sz w:val="40"/>
          <w:szCs w:val="40"/>
        </w:rPr>
        <w:t xml:space="preserve">Competitive Analysis Report</w:t>
      </w:r>
    </w:p>
    <w:p>
      <w:pPr>
        <w:shd w:fill="1E3A5F" w:val="clear"/>
        <w:spacing w:after="0" w:before="80"/>
        <w:ind w:left="240" w:right="240"/>
        <w:jc w:val="center"/>
      </w:pPr>
      <w:r>
        <w:rPr>
          <w:rFonts w:ascii="Arial" w:cs="Arial" w:eastAsia="Arial" w:hAnsi="Arial"/>
          <w:color w:val="7AAED4"/>
          <w:sz w:val="24"/>
          <w:szCs w:val="24"/>
        </w:rPr>
        <w:t xml:space="preserve">vs. Observe.AI  |  Convin.ai  |  Level AI</w:t>
      </w:r>
    </w:p>
    <w:p>
      <w:pPr>
        <w:shd w:fill="1E3A5F" w:val="clear"/>
        <w:spacing w:after="480" w:before="80"/>
        <w:ind w:left="240" w:right="240"/>
        <w:jc w:val="center"/>
      </w:pPr>
      <w:r>
        <w:rPr>
          <w:rFonts w:ascii="Arial" w:cs="Arial" w:eastAsia="Arial" w:hAnsi="Arial"/>
          <w:color w:val="5588AA"/>
          <w:sz w:val="20"/>
          <w:szCs w:val="20"/>
        </w:rPr>
        <w:t xml:space="preserve">June 26, 2026  |  Branch: v2-dev-backup</w:t>
      </w:r>
    </w:p>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Executive Summary</w:t>
      </w:r>
    </w:p>
    <w:p>
      <w:pPr>
        <w:spacing w:after="100"/>
      </w:pPr>
      <w:r>
        <w:rPr>
          <w:rFonts w:ascii="Arial" w:cs="Arial" w:eastAsia="Arial" w:hAnsi="Arial"/>
          <w:color w:val="222222"/>
          <w:sz w:val="22"/>
          <w:szCs w:val="22"/>
        </w:rPr>
        <w:t xml:space="preserve">AuditAI is a multi-tenant, AI-powered call-center auditing SaaS platform that automates quality review across 100% of calls — replacing manual QA that typically covers only ~2% of interactions. This report benchmarks AuditAI against its three primary competitors and identifies where the product leads, where it lags, and the highest-impact improvements to pursue in V2.</w:t>
      </w:r>
    </w:p>
    <w:p>
      <w:pPr>
        <w:spacing w:after="80"/>
      </w:pPr>
      <w:r>
        <w:t xml:space="preserve"/>
      </w:r>
    </w:p>
    <w:p>
      <w:pPr>
        <w:spacing w:after="100"/>
      </w:pPr>
      <w:r>
        <w:rPr>
          <w:rFonts w:ascii="Arial" w:cs="Arial" w:eastAsia="Arial" w:hAnsi="Arial"/>
          <w:color w:val="222222"/>
          <w:sz w:val="22"/>
          <w:szCs w:val="22"/>
        </w:rPr>
        <w:t xml:space="preserve">AuditAI's core differentiator is its four-vertical scoring engine: Sales (SES), Support (SQS), Collections (RES), and Talent (TES) — a combination that no competitor offers. Combined with India-native language support, INR/GST billing, voice identity biometrics, and LLM provider flexibility, AuditAI is uniquely positioned for the Indian BPO and enterprise market.</w:t>
      </w:r>
    </w:p>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1. AuditAI — Project Overview</w:t>
      </w:r>
    </w:p>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Product Summary</w:t>
      </w:r>
    </w:p>
    <w:p>
      <w:pPr>
        <w:spacing w:after="100"/>
      </w:pPr>
      <w:r>
        <w:rPr>
          <w:rFonts w:ascii="Arial" w:cs="Arial" w:eastAsia="Arial" w:hAnsi="Arial"/>
          <w:color w:val="222222"/>
          <w:sz w:val="22"/>
          <w:szCs w:val="22"/>
        </w:rPr>
        <w:t xml:space="preserve">AuditAI processes every uploaded call recording and produces:</w:t>
      </w:r>
    </w:p>
    <w:p>
      <w:pPr>
        <w:pStyle w:val="ListParagraph"/>
        <w:numPr>
          <w:ilvl w:val="0"/>
          <w:numId w:val="2"/>
        </w:numPr>
        <w:spacing w:after="60"/>
      </w:pPr>
      <w:r>
        <w:rPr>
          <w:rFonts w:ascii="Arial" w:cs="Arial" w:eastAsia="Arial" w:hAnsi="Arial"/>
          <w:color w:val="222222"/>
          <w:sz w:val="22"/>
          <w:szCs w:val="22"/>
        </w:rPr>
        <w:t xml:space="preserve">A speaker-labeled transcript with per-segment emotion, gender, and language detection</w:t>
      </w:r>
    </w:p>
    <w:p>
      <w:pPr>
        <w:pStyle w:val="ListParagraph"/>
        <w:numPr>
          <w:ilvl w:val="0"/>
          <w:numId w:val="2"/>
        </w:numPr>
        <w:spacing w:after="60"/>
      </w:pPr>
      <w:r>
        <w:rPr>
          <w:rFonts w:ascii="Arial" w:cs="Arial" w:eastAsia="Arial" w:hAnsi="Arial"/>
          <w:color w:val="222222"/>
          <w:sz w:val="22"/>
          <w:szCs w:val="22"/>
        </w:rPr>
        <w:t xml:space="preserve">A 0-100 quality score broken across 5 domain-specific pillars</w:t>
      </w:r>
    </w:p>
    <w:p>
      <w:pPr>
        <w:pStyle w:val="ListParagraph"/>
        <w:numPr>
          <w:ilvl w:val="0"/>
          <w:numId w:val="2"/>
        </w:numPr>
        <w:spacing w:after="60"/>
      </w:pPr>
      <w:r>
        <w:rPr>
          <w:rFonts w:ascii="Arial" w:cs="Arial" w:eastAsia="Arial" w:hAnsi="Arial"/>
          <w:color w:val="222222"/>
          <w:sz w:val="22"/>
          <w:szCs w:val="22"/>
        </w:rPr>
        <w:t xml:space="preserve">Compliance flags with exact transcript snippets (HIGH / MEDIUM / LOW severity)</w:t>
      </w:r>
    </w:p>
    <w:p>
      <w:pPr>
        <w:pStyle w:val="ListParagraph"/>
        <w:numPr>
          <w:ilvl w:val="0"/>
          <w:numId w:val="2"/>
        </w:numPr>
        <w:spacing w:after="60"/>
      </w:pPr>
      <w:r>
        <w:rPr>
          <w:rFonts w:ascii="Arial" w:cs="Arial" w:eastAsia="Arial" w:hAnsi="Arial"/>
          <w:color w:val="222222"/>
          <w:sz w:val="22"/>
          <w:szCs w:val="22"/>
        </w:rPr>
        <w:t xml:space="preserve">Coaching insights for the individual agent</w:t>
      </w:r>
    </w:p>
    <w:p>
      <w:pPr>
        <w:pStyle w:val="ListParagraph"/>
        <w:numPr>
          <w:ilvl w:val="0"/>
          <w:numId w:val="2"/>
        </w:numPr>
        <w:spacing w:after="60"/>
      </w:pPr>
      <w:r>
        <w:rPr>
          <w:rFonts w:ascii="Arial" w:cs="Arial" w:eastAsia="Arial" w:hAnsi="Arial"/>
          <w:color w:val="222222"/>
          <w:sz w:val="22"/>
          <w:szCs w:val="22"/>
        </w:rPr>
        <w:t xml:space="preserve">Aggregate dashboards for managers, admins, and platform super-admins</w:t>
      </w:r>
    </w:p>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Four Scoring Verticals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00"/>
      </w:tblGrid>
      <w:t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Vertical</w:t>
            </w:r>
          </w:p>
        </w:tc>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5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Pillars</w:t>
            </w:r>
          </w:p>
        </w:tc>
      </w:tr>
      <w:tr>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Sales</w:t>
            </w:r>
          </w:p>
        </w:tc>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color w:val="2A6EBB"/>
                <w:sz w:val="20"/>
                <w:szCs w:val="20"/>
              </w:rPr>
              <w:t xml:space="preserve">SES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19"/>
                <w:szCs w:val="19"/>
              </w:rPr>
              <w:t xml:space="preserve">Greeting, Need ID, Product Pitch, Objection Handling, Closing, Compliance</w:t>
            </w:r>
          </w:p>
        </w:tc>
      </w:tr>
      <w:tr>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Support</w:t>
            </w:r>
          </w:p>
        </w:tc>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color w:val="2A6EBB"/>
                <w:sz w:val="20"/>
                <w:szCs w:val="20"/>
              </w:rPr>
              <w:t xml:space="preserve">SQS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19"/>
                <w:szCs w:val="19"/>
              </w:rPr>
              <w:t xml:space="preserve">Issue Resolution, Response Time, Empathy, Process Adherence, FCR, Compliance</w:t>
            </w:r>
          </w:p>
        </w:tc>
      </w:tr>
      <w:tr>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Collections</w:t>
            </w:r>
          </w:p>
        </w:tc>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color w:val="2A6EBB"/>
                <w:sz w:val="20"/>
                <w:szCs w:val="20"/>
              </w:rPr>
              <w:t xml:space="preserve">RES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19"/>
                <w:szCs w:val="19"/>
              </w:rPr>
              <w:t xml:space="preserve">Payment Recovery, Negotiation, Empathy, Disclosure Compliance, Commitment</w:t>
            </w:r>
          </w:p>
        </w:tc>
      </w:tr>
      <w:tr>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b/>
                <w:bCs/>
                <w:color w:val="1E3A5F"/>
                <w:sz w:val="20"/>
                <w:szCs w:val="20"/>
              </w:rPr>
              <w:t xml:space="preserve">Talent</w:t>
            </w:r>
          </w:p>
        </w:tc>
        <w:tc>
          <w:tcPr>
            <w:tcW w:type="dxa" w:w="2000"/>
            <w:tcBorders>
              <w:top w:val="single" w:color="CCCCCC" w:sz="4"/>
              <w:left w:val="single" w:color="CCCCCC" w:sz="4"/>
              <w:bottom w:val="single" w:color="CCCCCC" w:sz="4"/>
              <w:right w:val="single" w:color="CCCCCC" w:sz="4"/>
            </w:tcBorders>
            <w:shd w:fill="D6E8F7" w:val="clear"/>
            <w:tcMar>
              <w:top w:type="dxa" w:w="80"/>
              <w:left w:type="dxa" w:w="120"/>
              <w:bottom w:type="dxa" w:w="80"/>
              <w:right w:type="dxa" w:w="120"/>
            </w:tcMar>
          </w:tcPr>
          <w:p>
            <w:r>
              <w:rPr>
                <w:rFonts w:ascii="Arial" w:cs="Arial" w:eastAsia="Arial" w:hAnsi="Arial"/>
                <w:color w:val="2A6EBB"/>
                <w:sz w:val="20"/>
                <w:szCs w:val="20"/>
              </w:rPr>
              <w:t xml:space="preserve">TES</w:t>
            </w:r>
          </w:p>
        </w:tc>
        <w:tc>
          <w:tcPr>
            <w:tcW w:type="dxa" w:w="5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333333"/>
                <w:sz w:val="19"/>
                <w:szCs w:val="19"/>
              </w:rPr>
              <w:t xml:space="preserve">Core Skill Eval, Candidate Engagement, Evaluation Depth, Candidate Experience, Compliance</w:t>
            </w:r>
          </w:p>
        </w:tc>
      </w:tr>
    </w:tbl>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System Architecture (6 Services)</w:t>
      </w:r>
    </w:p>
    <w:p>
      <w:pPr>
        <w:pStyle w:val="ListParagraph"/>
        <w:numPr>
          <w:ilvl w:val="0"/>
          <w:numId w:val="2"/>
        </w:numPr>
        <w:spacing w:after="60"/>
      </w:pPr>
      <w:r>
        <w:rPr>
          <w:rFonts w:ascii="Arial" w:cs="Arial" w:eastAsia="Arial" w:hAnsi="Arial"/>
          <w:color w:val="222222"/>
          <w:sz w:val="22"/>
          <w:szCs w:val="22"/>
        </w:rPr>
        <w:t xml:space="preserve">React 19 + Vite frontend (port 5173 / 4000)</w:t>
      </w:r>
    </w:p>
    <w:p>
      <w:pPr>
        <w:pStyle w:val="ListParagraph"/>
        <w:numPr>
          <w:ilvl w:val="0"/>
          <w:numId w:val="2"/>
        </w:numPr>
        <w:spacing w:after="60"/>
      </w:pPr>
      <w:r>
        <w:rPr>
          <w:rFonts w:ascii="Arial" w:cs="Arial" w:eastAsia="Arial" w:hAnsi="Arial"/>
          <w:color w:val="222222"/>
          <w:sz w:val="22"/>
          <w:szCs w:val="22"/>
        </w:rPr>
        <w:t xml:space="preserve">Node.js Express 5 API — Auth, CRUD, Upload, Dashboards, Billing, Admin</w:t>
      </w:r>
    </w:p>
    <w:p>
      <w:pPr>
        <w:pStyle w:val="ListParagraph"/>
        <w:numPr>
          <w:ilvl w:val="0"/>
          <w:numId w:val="2"/>
        </w:numPr>
        <w:spacing w:after="60"/>
      </w:pPr>
      <w:r>
        <w:rPr>
          <w:rFonts w:ascii="Arial" w:cs="Arial" w:eastAsia="Arial" w:hAnsi="Arial"/>
          <w:color w:val="222222"/>
          <w:sz w:val="22"/>
          <w:szCs w:val="22"/>
        </w:rPr>
        <w:t xml:space="preserve">BullMQ Worker — async call processing pipeline</w:t>
      </w:r>
    </w:p>
    <w:p>
      <w:pPr>
        <w:pStyle w:val="ListParagraph"/>
        <w:numPr>
          <w:ilvl w:val="0"/>
          <w:numId w:val="2"/>
        </w:numPr>
        <w:spacing w:after="60"/>
      </w:pPr>
      <w:r>
        <w:rPr>
          <w:rFonts w:ascii="Arial" w:cs="Arial" w:eastAsia="Arial" w:hAnsi="Arial"/>
          <w:color w:val="222222"/>
          <w:sz w:val="22"/>
          <w:szCs w:val="22"/>
        </w:rPr>
        <w:t xml:space="preserve">Python FastAPI Orchestrator — audio enhance, language ID, emotion &amp; gender classification</w:t>
      </w:r>
    </w:p>
    <w:p>
      <w:pPr>
        <w:pStyle w:val="ListParagraph"/>
        <w:numPr>
          <w:ilvl w:val="0"/>
          <w:numId w:val="2"/>
        </w:numPr>
        <w:spacing w:after="60"/>
      </w:pPr>
      <w:r>
        <w:rPr>
          <w:rFonts w:ascii="Arial" w:cs="Arial" w:eastAsia="Arial" w:hAnsi="Arial"/>
          <w:color w:val="222222"/>
          <w:sz w:val="22"/>
          <w:szCs w:val="22"/>
        </w:rPr>
        <w:t xml:space="preserve">Insights Service — FastAPI + SQL MCP for natural language dashboard queries</w:t>
      </w:r>
    </w:p>
    <w:p>
      <w:pPr>
        <w:pStyle w:val="ListParagraph"/>
        <w:numPr>
          <w:ilvl w:val="0"/>
          <w:numId w:val="2"/>
        </w:numPr>
        <w:spacing w:after="60"/>
      </w:pPr>
      <w:r>
        <w:rPr>
          <w:rFonts w:ascii="Arial" w:cs="Arial" w:eastAsia="Arial" w:hAnsi="Arial"/>
          <w:color w:val="222222"/>
          <w:sz w:val="22"/>
          <w:szCs w:val="22"/>
        </w:rPr>
        <w:t xml:space="preserve">PostgreSQL (~40 tables) + Redis (job queue + rate limiting)</w:t>
      </w:r>
    </w:p>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Call Processing Pipeline</w:t>
      </w:r>
    </w:p>
    <w:p>
      <w:pPr>
        <w:spacing w:after="100"/>
      </w:pPr>
      <w:r>
        <w:rPr>
          <w:rFonts w:ascii="Arial" w:cs="Arial" w:eastAsia="Arial" w:hAnsi="Arial"/>
          <w:color w:val="222222"/>
          <w:sz w:val="22"/>
          <w:szCs w:val="22"/>
        </w:rPr>
        <w:t xml:space="preserve">Typical end-to-end latency: 30–90 seconds</w:t>
      </w:r>
    </w:p>
    <w:p>
      <w:pPr>
        <w:pStyle w:val="ListParagraph"/>
        <w:numPr>
          <w:ilvl w:val="0"/>
          <w:numId w:val="3"/>
        </w:numPr>
        <w:spacing w:after="60"/>
      </w:pPr>
      <w:r>
        <w:rPr>
          <w:rFonts w:ascii="Arial" w:cs="Arial" w:eastAsia="Arial" w:hAnsi="Arial"/>
          <w:sz w:val="22"/>
          <w:szCs w:val="22"/>
        </w:rPr>
        <w:t xml:space="preserve">Agent uploads audio (MP3/WAV, ≤50 MB) — queued into BullMQ</w:t>
      </w:r>
    </w:p>
    <w:p>
      <w:pPr>
        <w:pStyle w:val="ListParagraph"/>
        <w:numPr>
          <w:ilvl w:val="0"/>
          <w:numId w:val="3"/>
        </w:numPr>
        <w:spacing w:after="60"/>
      </w:pPr>
      <w:r>
        <w:rPr>
          <w:rFonts w:ascii="Arial" w:cs="Arial" w:eastAsia="Arial" w:hAnsi="Arial"/>
          <w:sz w:val="22"/>
          <w:szCs w:val="22"/>
        </w:rPr>
        <w:t xml:space="preserve">Parallel: ASR transcription (Soniox / Deepgram / Sarvam) + orchestrator preprocessing</w:t>
      </w:r>
    </w:p>
    <w:p>
      <w:pPr>
        <w:pStyle w:val="ListParagraph"/>
        <w:numPr>
          <w:ilvl w:val="0"/>
          <w:numId w:val="3"/>
        </w:numPr>
        <w:spacing w:after="60"/>
      </w:pPr>
      <w:r>
        <w:rPr>
          <w:rFonts w:ascii="Arial" w:cs="Arial" w:eastAsia="Arial" w:hAnsi="Arial"/>
          <w:sz w:val="22"/>
          <w:szCs w:val="22"/>
        </w:rPr>
        <w:t xml:space="preserve">Per-segment emotion, gender, language classification + prosody extraction (F0, jitter, shimmer, HNR)</w:t>
      </w:r>
    </w:p>
    <w:p>
      <w:pPr>
        <w:pStyle w:val="ListParagraph"/>
        <w:numPr>
          <w:ilvl w:val="0"/>
          <w:numId w:val="3"/>
        </w:numPr>
        <w:spacing w:after="60"/>
      </w:pPr>
      <w:r>
        <w:rPr>
          <w:rFonts w:ascii="Arial" w:cs="Arial" w:eastAsia="Arial" w:hAnsi="Arial"/>
          <w:sz w:val="22"/>
          <w:szCs w:val="22"/>
        </w:rPr>
        <w:t xml:space="preserve">LLM evaluation: PII redaction → scoring prompt → Gemini/OpenRouter/Groq/NVIDIA NIM/Sarvam</w:t>
      </w:r>
    </w:p>
    <w:p>
      <w:pPr>
        <w:pStyle w:val="ListParagraph"/>
        <w:numPr>
          <w:ilvl w:val="0"/>
          <w:numId w:val="3"/>
        </w:numPr>
        <w:spacing w:after="60"/>
      </w:pPr>
      <w:r>
        <w:rPr>
          <w:rFonts w:ascii="Arial" w:cs="Arial" w:eastAsia="Arial" w:hAnsi="Arial"/>
          <w:sz w:val="22"/>
          <w:szCs w:val="22"/>
        </w:rPr>
        <w:t xml:space="preserve">Deterministic vertical scoring engine applies pillar weights ± compliance penalties</w:t>
      </w:r>
    </w:p>
    <w:p>
      <w:pPr>
        <w:pStyle w:val="ListParagraph"/>
        <w:numPr>
          <w:ilvl w:val="0"/>
          <w:numId w:val="3"/>
        </w:numPr>
        <w:spacing w:after="60"/>
      </w:pPr>
      <w:r>
        <w:rPr>
          <w:rFonts w:ascii="Arial" w:cs="Arial" w:eastAsia="Arial" w:hAnsi="Arial"/>
          <w:sz w:val="22"/>
          <w:szCs w:val="22"/>
        </w:rPr>
        <w:t xml:space="preserve">Results persisted; Socket.io pushes real-time status to frontend</w:t>
      </w:r>
    </w:p>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2. Feature Comparison Matrix</w:t>
      </w:r>
    </w:p>
    <w:p>
      <w:pPr>
        <w:spacing w:after="80"/>
      </w:pPr>
      <w:r>
        <w:t xml:space="preserve"/>
      </w:r>
    </w:p>
    <w:p>
      <w:pPr>
        <w:spacing w:after="100"/>
      </w:pPr>
      <w:r>
        <w:rPr>
          <w:rFonts w:ascii="Arial" w:cs="Arial" w:eastAsia="Arial" w:hAnsi="Arial"/>
          <w:color w:val="222222"/>
          <w:sz w:val="22"/>
          <w:szCs w:val="22"/>
        </w:rPr>
        <w:t xml:space="preserve">Color legend: Green = Feature present | Amber = Partial / limited | Red = Not available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AuditAI</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Observe.AI</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Convin.ai</w:t>
            </w:r>
          </w:p>
        </w:tc>
        <w:tc>
          <w:tcPr>
            <w:tcW w:type="dxa" w:w="18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 AI</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Multi-vertical scoring</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- 4 verticals</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Indian lang. support</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Native</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Limited</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- 70+ langs</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English-first</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Voice identity</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Built-in</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PARTIAL</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Emotion/gender/LID</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Per-segment</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Sentiment only</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Basic</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Rich</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LLM agnostic</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- 5 providers</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Proprietary</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Proprietary</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Proprietary</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Custom eval templates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Real-time agent assist</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Not yet</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Telephony integration</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Not yet</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Native</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India-first pricing</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INR/GST</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USD only</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 - USD</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Prosody/voice signals</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F0, jitter</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Speech analytics</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Some</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Knowledge base</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File/URL/text</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Limited</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r>
      <w:tr>
        <w:tc>
          <w:tcPr>
            <w:tcW w:type="dxa" w:w="1800"/>
            <w:tcBorders>
              <w:top w:val="single" w:color="CCCCCC" w:sz="4"/>
              <w:left w:val="single" w:color="CCCCCC" w:sz="4"/>
              <w:bottom w:val="single" w:color="CCCCCC" w:sz="4"/>
              <w:right w:val="single" w:color="CCCCCC" w:sz="4"/>
            </w:tcBorders>
            <w:shd w:fill="F4F4F4" w:val="clear"/>
            <w:tcMar>
              <w:top w:type="dxa" w:w="80"/>
              <w:left w:type="dxa" w:w="120"/>
              <w:bottom w:type="dxa" w:w="80"/>
              <w:right w:type="dxa" w:w="120"/>
            </w:tcMar>
          </w:tcPr>
          <w:p>
            <w:r>
              <w:rPr>
                <w:rFonts w:ascii="Arial" w:cs="Arial" w:eastAsia="Arial" w:hAnsi="Arial"/>
                <w:b/>
                <w:bCs/>
                <w:color w:val="333333"/>
                <w:sz w:val="18"/>
                <w:szCs w:val="18"/>
              </w:rPr>
              <w:t xml:space="preserve">Insights NL chat</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 - SQL-backed</w:t>
            </w:r>
          </w:p>
        </w:tc>
        <w:tc>
          <w:tcPr>
            <w:tcW w:type="dxa" w:w="1800"/>
            <w:tcBorders>
              <w:top w:val="single" w:color="CCCCCC" w:sz="4"/>
              <w:left w:val="single" w:color="CCCCCC" w:sz="4"/>
              <w:bottom w:val="single" w:color="CCCCCC" w:sz="4"/>
              <w:right w:val="single" w:color="CCCCCC" w:sz="4"/>
            </w:tcBorders>
            <w:shd w:fill="FFF3CD" w:val="clear"/>
            <w:tcMar>
              <w:top w:type="dxa" w:w="80"/>
              <w:left w:type="dxa" w:w="120"/>
              <w:bottom w:type="dxa" w:w="80"/>
              <w:right w:type="dxa" w:w="120"/>
            </w:tcMar>
            <w:vAlign w:val="center"/>
          </w:tcPr>
          <w:p>
            <w:pPr>
              <w:jc w:val="center"/>
            </w:pPr>
            <w:r>
              <w:rPr>
                <w:rFonts w:ascii="Arial" w:cs="Arial" w:eastAsia="Arial" w:hAnsi="Arial"/>
                <w:color w:val="7B5200"/>
                <w:sz w:val="17"/>
                <w:szCs w:val="17"/>
              </w:rPr>
              <w:t xml:space="preserve">Basic</w:t>
            </w:r>
          </w:p>
        </w:tc>
        <w:tc>
          <w:tcPr>
            <w:tcW w:type="dxa" w:w="1800"/>
            <w:tcBorders>
              <w:top w:val="single" w:color="CCCCCC" w:sz="4"/>
              <w:left w:val="single" w:color="CCCCCC" w:sz="4"/>
              <w:bottom w:val="single" w:color="CCCCCC" w:sz="4"/>
              <w:right w:val="single" w:color="CCCCCC" w:sz="4"/>
            </w:tcBorders>
            <w:shd w:fill="FADADD" w:val="clear"/>
            <w:tcMar>
              <w:top w:type="dxa" w:w="80"/>
              <w:left w:type="dxa" w:w="120"/>
              <w:bottom w:type="dxa" w:w="80"/>
              <w:right w:type="dxa" w:w="120"/>
            </w:tcMar>
            <w:vAlign w:val="center"/>
          </w:tcPr>
          <w:p>
            <w:pPr>
              <w:jc w:val="center"/>
            </w:pPr>
            <w:r>
              <w:rPr>
                <w:rFonts w:ascii="Arial" w:cs="Arial" w:eastAsia="Arial" w:hAnsi="Arial"/>
                <w:color w:val="B02020"/>
                <w:sz w:val="17"/>
                <w:szCs w:val="17"/>
              </w:rPr>
              <w:t xml:space="preserve">NO</w:t>
            </w:r>
          </w:p>
        </w:tc>
        <w:tc>
          <w:tcPr>
            <w:tcW w:type="dxa" w:w="1800"/>
            <w:tcBorders>
              <w:top w:val="single" w:color="CCCCCC" w:sz="4"/>
              <w:left w:val="single" w:color="CCCCCC" w:sz="4"/>
              <w:bottom w:val="single" w:color="CCCCCC" w:sz="4"/>
              <w:right w:val="single" w:color="CCCCCC" w:sz="4"/>
            </w:tcBorders>
            <w:shd w:fill="D4EDDA" w:val="clear"/>
            <w:tcMar>
              <w:top w:type="dxa" w:w="80"/>
              <w:left w:type="dxa" w:w="120"/>
              <w:bottom w:type="dxa" w:w="80"/>
              <w:right w:type="dxa" w:w="120"/>
            </w:tcMar>
            <w:vAlign w:val="center"/>
          </w:tcPr>
          <w:p>
            <w:pPr>
              <w:jc w:val="center"/>
            </w:pPr>
            <w:r>
              <w:rPr>
                <w:rFonts w:ascii="Arial" w:cs="Arial" w:eastAsia="Arial" w:hAnsi="Arial"/>
                <w:color w:val="1A7A4A"/>
                <w:sz w:val="17"/>
                <w:szCs w:val="17"/>
              </w:rPr>
              <w:t xml:space="preserve">YES</w:t>
            </w:r>
          </w:p>
        </w:tc>
      </w:tr>
    </w:tbl>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3. Competitor Deep-Dive</w:t>
      </w:r>
    </w:p>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Observe.AI  (US-based, Enterprise)</w:t>
      </w:r>
    </w:p>
    <w:p>
      <w:pPr>
        <w:spacing w:after="100"/>
      </w:pPr>
      <w:r>
        <w:rPr>
          <w:rFonts w:ascii="Arial" w:cs="Arial" w:eastAsia="Arial" w:hAnsi="Arial"/>
          <w:color w:val="222222"/>
          <w:sz w:val="22"/>
          <w:szCs w:val="22"/>
        </w:rPr>
        <w:t xml:space="preserve">Observe.AI is one of the most mature platforms in the space, with 350+ enterprise deployments and a 95%+ adoption rate. It has a strong position in US financial services, insurance, and healthcare sectors, and has recently moved beyond post-call QA into real-time agent assistance.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Strengths</w:t>
            </w:r>
          </w:p>
        </w:tc>
        <w:tc>
          <w:tcPr>
            <w:tcW w:type="dxa" w:w="4500"/>
            <w:tcBorders>
              <w:top w:val="single" w:color="CCCCCC" w:sz="4"/>
              <w:left w:val="single" w:color="CCCCCC" w:sz="4"/>
              <w:bottom w:val="single" w:color="CCCCCC" w:sz="4"/>
              <w:right w:val="single" w:color="CCCCCC" w:sz="4"/>
            </w:tcBorders>
            <w:shd w:fill="B0202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Weaknesses</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350+ enterprise deployments, proven at massive scale</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US-centric; poor Indian regional language support</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Real-time agent assist + live coaching copilot</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Hidden pricing; requires 100-seat minimum commitment</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Native telephony integrations (Twilio, Avaya, Genesys)</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Inaccurate transcriptions flagged by real users</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Omnichannel: voice, chat, and email in one platform</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No multi-vertical scoring engine — all calls treated equally</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Strong compliance and risk monitoring for BFSI sector</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Proprietary LLM stack — no model flexibility or cost control</w:t>
            </w:r>
          </w:p>
        </w:tc>
      </w:tr>
    </w:tbl>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Convin.ai  (India-based, Mid-market)</w:t>
      </w:r>
    </w:p>
    <w:p>
      <w:pPr>
        <w:spacing w:after="100"/>
      </w:pPr>
      <w:r>
        <w:rPr>
          <w:rFonts w:ascii="Arial" w:cs="Arial" w:eastAsia="Arial" w:hAnsi="Arial"/>
          <w:color w:val="222222"/>
          <w:sz w:val="22"/>
          <w:szCs w:val="22"/>
        </w:rPr>
        <w:t xml:space="preserve">Convin is AuditAI's most direct Indian market competitor. It has solid automated QA, real-time supervisor dashboards, and has recently pivoted to an AI voice bot product. However, it lacks the multi-vertical scoring engine and voice identity features that AuditAI offers.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Strengths</w:t>
            </w:r>
          </w:p>
        </w:tc>
        <w:tc>
          <w:tcPr>
            <w:tcW w:type="dxa" w:w="4500"/>
            <w:tcBorders>
              <w:top w:val="single" w:color="CCCCCC" w:sz="4"/>
              <w:left w:val="single" w:color="CCCCCC" w:sz="4"/>
              <w:bottom w:val="single" w:color="CCCCCC" w:sz="4"/>
              <w:right w:val="single" w:color="CCCCCC" w:sz="4"/>
            </w:tcBorders>
            <w:shd w:fill="B0202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Weaknesses</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Strong India market presence and INR pricing</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No multi-vertical scoring (Sales/Support/Collections/Talent)</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70+ language support including Indian languages</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Dashboard lag and slowness noted by users on G2</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Real-time supervisor assist dashboard with sentiment tracking</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TTS quality still lags behind market leaders</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AI voice bot product (CX Suite) for inbound/outbound automation</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AI insights still need human validation</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Fast-to-deploy with easy CRM integrations</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No voice identity or speaker biometric enrollment</w:t>
            </w:r>
          </w:p>
        </w:tc>
      </w:tr>
    </w:tbl>
    <w:p>
      <w:pPr>
        <w:spacing w:after="80"/>
      </w:pPr>
      <w:r>
        <w:t xml:space="preserve"/>
      </w:r>
    </w:p>
    <w:p>
      <w:pPr>
        <w:pStyle w:val="Heading2"/>
        <w:pBdr>
          <w:bottom w:val="single" w:color="AACCEE" w:sz="4" w:space="2"/>
        </w:pBdr>
        <w:spacing w:after="120" w:before="280"/>
      </w:pPr>
      <w:r>
        <w:rPr>
          <w:rFonts w:ascii="Arial" w:cs="Arial" w:eastAsia="Arial" w:hAnsi="Arial"/>
          <w:b/>
          <w:bCs/>
          <w:color w:val="2A6EBB"/>
          <w:sz w:val="28"/>
          <w:szCs w:val="28"/>
        </w:rPr>
        <w:t xml:space="preserve">Level AI  (US-based, Enterprise)</w:t>
      </w:r>
    </w:p>
    <w:p>
      <w:pPr>
        <w:spacing w:after="100"/>
      </w:pPr>
      <w:r>
        <w:rPr>
          <w:rFonts w:ascii="Arial" w:cs="Arial" w:eastAsia="Arial" w:hAnsi="Arial"/>
          <w:color w:val="222222"/>
          <w:sz w:val="22"/>
          <w:szCs w:val="22"/>
        </w:rPr>
        <w:t xml:space="preserve">Level AI is technically the most sophisticated QA platform in the US market. Its QA-GPT model claims 2x higher accuracy than keyword/intent-based systems, and it offers a genuinely end-to-end CX platform. However, it has essentially no India presence and USD-only pricing.</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Strengths</w:t>
            </w:r>
          </w:p>
        </w:tc>
        <w:tc>
          <w:tcPr>
            <w:tcW w:type="dxa" w:w="4500"/>
            <w:tcBorders>
              <w:top w:val="single" w:color="CCCCCC" w:sz="4"/>
              <w:left w:val="single" w:color="CCCCCC" w:sz="4"/>
              <w:bottom w:val="single" w:color="CCCCCC" w:sz="4"/>
              <w:right w:val="single" w:color="CCCCCC" w:sz="4"/>
            </w:tcBorders>
            <w:shd w:fill="B0202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Weaknesses</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Rich emotion &amp; sentiment detection — best-in-class accuracy</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No Indian language, Hinglish, or code-switching support</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QA-GPT with 2x accuracy vs keyword/intent-based models</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USD pricing with US data residency by default</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End-to-end platform: Auto-QA + coaching + analytics + agent assist</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No talent evaluation (HR/recruitment) vertical</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Natural language insights chat for managers and executives</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No voice identity or prosody feature set</w:t>
            </w:r>
          </w:p>
        </w:tc>
      </w:tr>
      <w:tr>
        <w:tc>
          <w:tcPr>
            <w:tcW w:type="dxa" w:w="4500"/>
            <w:tcBorders>
              <w:top w:val="single" w:color="CCCCCC" w:sz="4"/>
              <w:left w:val="single" w:color="CCCCCC" w:sz="4"/>
              <w:bottom w:val="single" w:color="CCCCCC" w:sz="4"/>
              <w:right w:val="single" w:color="CCCCCC" w:sz="4"/>
            </w:tcBorders>
            <w:shd w:fill="D4EDDA" w:val="clear"/>
            <w:tcMar>
              <w:top w:type="dxa" w:w="60"/>
              <w:left w:type="dxa" w:w="120"/>
              <w:bottom w:type="dxa" w:w="60"/>
              <w:right w:type="dxa" w:w="120"/>
            </w:tcMar>
          </w:tcPr>
          <w:p>
            <w:r>
              <w:rPr>
                <w:rFonts w:ascii="Arial" w:cs="Arial" w:eastAsia="Arial" w:hAnsi="Arial"/>
                <w:color w:val="1A4A2E"/>
                <w:sz w:val="20"/>
                <w:szCs w:val="20"/>
              </w:rPr>
              <w:t xml:space="preserve">✓  Strong knowledge base and template system</w:t>
            </w:r>
          </w:p>
        </w:tc>
        <w:tc>
          <w:tcPr>
            <w:tcW w:type="dxa" w:w="4500"/>
            <w:tcBorders>
              <w:top w:val="single" w:color="CCCCCC" w:sz="4"/>
              <w:left w:val="single" w:color="CCCCCC" w:sz="4"/>
              <w:bottom w:val="single" w:color="CCCCCC" w:sz="4"/>
              <w:right w:val="single" w:color="CCCCCC" w:sz="4"/>
            </w:tcBorders>
            <w:shd w:fill="FADADD" w:val="clear"/>
            <w:tcMar>
              <w:top w:type="dxa" w:w="60"/>
              <w:left w:type="dxa" w:w="120"/>
              <w:bottom w:type="dxa" w:w="60"/>
              <w:right w:type="dxa" w:w="120"/>
            </w:tcMar>
          </w:tcPr>
          <w:p>
            <w:r>
              <w:rPr>
                <w:rFonts w:ascii="Arial" w:cs="Arial" w:eastAsia="Arial" w:hAnsi="Arial"/>
                <w:color w:val="6B1010"/>
                <w:sz w:val="20"/>
                <w:szCs w:val="20"/>
              </w:rPr>
              <w:t xml:space="preserve">✗  Enterprise cost and complexity — not suitable for SMB India</w:t>
            </w:r>
          </w:p>
        </w:tc>
      </w:tr>
    </w:tbl>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4. AuditAI's Unique Advantages</w:t>
      </w:r>
    </w:p>
    <w:p>
      <w:pPr>
        <w:spacing w:after="80"/>
      </w:pPr>
      <w:r>
        <w:t xml:space="preserve"/>
      </w:r>
    </w:p>
    <w:p>
      <w:pPr>
        <w:spacing w:after="100"/>
      </w:pPr>
      <w:r>
        <w:rPr>
          <w:rFonts w:ascii="Arial" w:cs="Arial" w:eastAsia="Arial" w:hAnsi="Arial"/>
          <w:color w:val="222222"/>
          <w:sz w:val="22"/>
          <w:szCs w:val="22"/>
        </w:rPr>
        <w:t xml:space="preserve">These are features where AuditAI has a genuine lead over every major competitor — your defensible moat.</w:t>
      </w:r>
    </w:p>
    <w:p>
      <w:pPr>
        <w:spacing w:after="80"/>
      </w:pPr>
      <w:r>
        <w:t xml:space="preserve"/>
      </w:r>
    </w:p>
    <w:p>
      <w:pPr>
        <w:shd w:fill="1A5C2A" w:val="clear"/>
        <w:spacing w:after="120" w:before="200"/>
        <w:ind w:left="200"/>
      </w:pPr>
      <w:r>
        <w:rPr>
          <w:rFonts w:ascii="Arial" w:cs="Arial" w:eastAsia="Arial" w:hAnsi="Arial"/>
          <w:b/>
          <w:bCs/>
          <w:color w:val="FFFFFF"/>
          <w:sz w:val="24"/>
          <w:szCs w:val="24"/>
        </w:rPr>
        <w:t xml:space="preserve">Multi-Vertical Scoring Engine — Your Biggest Moat</w:t>
      </w:r>
    </w:p>
    <w:p>
      <w:pPr>
        <w:spacing w:after="100"/>
      </w:pPr>
      <w:r>
        <w:rPr>
          <w:rFonts w:ascii="Arial" w:cs="Arial" w:eastAsia="Arial" w:hAnsi="Arial"/>
          <w:color w:val="1A7A4A"/>
          <w:sz w:val="22"/>
          <w:szCs w:val="22"/>
        </w:rPr>
        <w:t xml:space="preserve">No competitor offers four distinct scoring rubrics — Sales (SES), Support (SQS), Collections (RES), and Talent (TES) — in one platform. This makes AuditAI the only viable option for BPOs or enterprises that run multiple call types. A collections center transitioning some agents to sales doesn't need to buy two different platforms.</w:t>
      </w:r>
    </w:p>
    <w:p>
      <w:pPr>
        <w:spacing w:after="80"/>
      </w:pPr>
      <w:r>
        <w:t xml:space="preserve"/>
      </w:r>
    </w:p>
    <w:p>
      <w:pPr>
        <w:shd w:fill="1A5C2A" w:val="clear"/>
        <w:spacing w:after="120" w:before="200"/>
        <w:ind w:left="200"/>
      </w:pPr>
      <w:r>
        <w:rPr>
          <w:rFonts w:ascii="Arial" w:cs="Arial" w:eastAsia="Arial" w:hAnsi="Arial"/>
          <w:b/>
          <w:bCs/>
          <w:color w:val="FFFFFF"/>
          <w:sz w:val="24"/>
          <w:szCs w:val="24"/>
        </w:rPr>
        <w:t xml:space="preserve">India-Native Language Pipeline</w:t>
      </w:r>
    </w:p>
    <w:p>
      <w:pPr>
        <w:spacing w:after="100"/>
      </w:pPr>
      <w:r>
        <w:rPr>
          <w:rFonts w:ascii="Arial" w:cs="Arial" w:eastAsia="Arial" w:hAnsi="Arial"/>
          <w:color w:val="1A7A4A"/>
          <w:sz w:val="22"/>
          <w:szCs w:val="22"/>
        </w:rPr>
        <w:t xml:space="preserve">Soniox + Sarvam ASR integration with per-segment language ID handles code-switching (Hinglish, Tamil-English) that US tools like Observe.AI and Level AI simply cannot do reliably. This is critical for the Indian BPO market where agents routinely switch languages mid-call.</w:t>
      </w:r>
    </w:p>
    <w:p>
      <w:pPr>
        <w:spacing w:after="80"/>
      </w:pPr>
      <w:r>
        <w:t xml:space="preserve"/>
      </w:r>
    </w:p>
    <w:p>
      <w:pPr>
        <w:shd w:fill="1A5C2A" w:val="clear"/>
        <w:spacing w:after="120" w:before="200"/>
        <w:ind w:left="200"/>
      </w:pPr>
      <w:r>
        <w:rPr>
          <w:rFonts w:ascii="Arial" w:cs="Arial" w:eastAsia="Arial" w:hAnsi="Arial"/>
          <w:b/>
          <w:bCs/>
          <w:color w:val="FFFFFF"/>
          <w:sz w:val="24"/>
          <w:szCs w:val="24"/>
        </w:rPr>
        <w:t xml:space="preserve">Voice Identity + Speaker Biometrics</w:t>
      </w:r>
    </w:p>
    <w:p>
      <w:pPr>
        <w:spacing w:after="100"/>
      </w:pPr>
      <w:r>
        <w:rPr>
          <w:rFonts w:ascii="Arial" w:cs="Arial" w:eastAsia="Arial" w:hAnsi="Arial"/>
          <w:color w:val="1A7A4A"/>
          <w:sz w:val="22"/>
          <w:szCs w:val="22"/>
        </w:rPr>
        <w:t xml:space="preserve">Resemblyzer-based agent enrollment and call-level voice matching with human review is a rare differentiator. No competing product in the Indian market has this at the call-by-call level with a full review workflow. This enables fraud detection and accurate agent attribution in multi-speaker environments.</w:t>
      </w:r>
    </w:p>
    <w:p>
      <w:pPr>
        <w:spacing w:after="80"/>
      </w:pPr>
      <w:r>
        <w:t xml:space="preserve"/>
      </w:r>
    </w:p>
    <w:p>
      <w:pPr>
        <w:shd w:fill="1A5C2A" w:val="clear"/>
        <w:spacing w:after="120" w:before="200"/>
        <w:ind w:left="200"/>
      </w:pPr>
      <w:r>
        <w:rPr>
          <w:rFonts w:ascii="Arial" w:cs="Arial" w:eastAsia="Arial" w:hAnsi="Arial"/>
          <w:b/>
          <w:bCs/>
          <w:color w:val="FFFFFF"/>
          <w:sz w:val="24"/>
          <w:szCs w:val="24"/>
        </w:rPr>
        <w:t xml:space="preserve">LLM Flexibility + Cost Transparency</w:t>
      </w:r>
    </w:p>
    <w:p>
      <w:pPr>
        <w:spacing w:after="100"/>
      </w:pPr>
      <w:r>
        <w:rPr>
          <w:rFonts w:ascii="Arial" w:cs="Arial" w:eastAsia="Arial" w:hAnsi="Arial"/>
          <w:color w:val="1A7A4A"/>
          <w:sz w:val="22"/>
          <w:szCs w:val="22"/>
        </w:rPr>
        <w:t xml:space="preserve">A 5-provider fallback chain (Gemini, OpenRouter, Groq, NVIDIA NIM, Sarvam LLM) with per-call cost and latency tracking gives enterprises real-time AI cost control. Customers can pin to on-premise or regional LLMs for data residency compliance — something no competitor offers.</w:t>
      </w:r>
    </w:p>
    <w:p>
      <w:pPr>
        <w:spacing w:after="80"/>
      </w:pPr>
      <w:r>
        <w:t xml:space="preserve"/>
      </w:r>
    </w:p>
    <w:p>
      <w:pPr>
        <w:shd w:fill="1A5C2A" w:val="clear"/>
        <w:spacing w:after="120" w:before="200"/>
        <w:ind w:left="200"/>
      </w:pPr>
      <w:r>
        <w:rPr>
          <w:rFonts w:ascii="Arial" w:cs="Arial" w:eastAsia="Arial" w:hAnsi="Arial"/>
          <w:b/>
          <w:bCs/>
          <w:color w:val="FFFFFF"/>
          <w:sz w:val="24"/>
          <w:szCs w:val="24"/>
        </w:rPr>
        <w:t xml:space="preserve">INR Billing with GST/TDS Compliance</w:t>
      </w:r>
    </w:p>
    <w:p>
      <w:pPr>
        <w:spacing w:after="100"/>
      </w:pPr>
      <w:r>
        <w:rPr>
          <w:rFonts w:ascii="Arial" w:cs="Arial" w:eastAsia="Arial" w:hAnsi="Arial"/>
          <w:color w:val="1A7A4A"/>
          <w:sz w:val="22"/>
          <w:szCs w:val="22"/>
        </w:rPr>
        <w:t xml:space="preserve">Full Indian tax infrastructure — 18% GST, 2% TDS, prepaid wallet, postpaid invoicing, OTC charges — is built into the schema. US competitors bill in USD with no INR support, creating genuine procurement friction for Indian enterprise finance teams.</w:t>
      </w:r>
    </w:p>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5. Critical Gaps to Close (V2 Priorities)</w:t>
      </w:r>
    </w:p>
    <w:p>
      <w:pPr>
        <w:spacing w:after="80"/>
      </w:pPr>
      <w:r>
        <w:t xml:space="preserve"/>
      </w:r>
    </w:p>
    <w:p>
      <w:pPr>
        <w:spacing w:after="100"/>
      </w:pPr>
      <w:r>
        <w:rPr>
          <w:rFonts w:ascii="Arial" w:cs="Arial" w:eastAsia="Arial" w:hAnsi="Arial"/>
          <w:color w:val="222222"/>
          <w:sz w:val="22"/>
          <w:szCs w:val="22"/>
        </w:rPr>
        <w:t xml:space="preserve">These are features where AuditAI lags all or most competitors — in order of business impact:</w:t>
      </w:r>
    </w:p>
    <w:p>
      <w:pPr>
        <w:spacing w:after="80"/>
      </w:pPr>
      <w:r>
        <w:t xml:space="preserve"/>
      </w:r>
    </w:p>
    <w:p>
      <w:pPr>
        <w:pStyle w:val="Heading2"/>
        <w:pBdr>
          <w:bottom w:val="single" w:color="AACCEE" w:sz="4" w:space="2"/>
        </w:pBdr>
        <w:spacing w:after="120" w:before="280"/>
      </w:pPr>
      <w:r>
        <w:rPr>
          <w:rFonts w:ascii="Arial" w:cs="Arial" w:eastAsia="Arial" w:hAnsi="Arial"/>
          <w:b/>
          <w:bCs/>
          <w:color w:val="B02020"/>
          <w:sz w:val="28"/>
          <w:szCs w:val="28"/>
        </w:rPr>
        <w:t xml:space="preserve">Gap 1: No Real-Time Agent Assist</w:t>
      </w:r>
    </w:p>
    <w:p>
      <w:pPr>
        <w:spacing w:after="100"/>
      </w:pPr>
      <w:r>
        <w:rPr>
          <w:rFonts w:ascii="Arial" w:cs="Arial" w:eastAsia="Arial" w:hAnsi="Arial"/>
          <w:color w:val="222222"/>
          <w:sz w:val="22"/>
          <w:szCs w:val="22"/>
        </w:rPr>
        <w:t xml:space="preserve">Observe.AI, Convin, and Level AI all offer live in-call guidance. Without it, AuditAI is a post-call audit tool — which limits its value proposition to QA managers rather than the entire contact center floor. Real-time assist is increasingly a baseline expectation, not a premium feature.</w:t>
      </w:r>
    </w:p>
    <w:p>
      <w:pPr>
        <w:spacing w:after="80"/>
      </w:pPr>
      <w:r>
        <w:t xml:space="preserve"/>
      </w:r>
    </w:p>
    <w:p>
      <w:pPr>
        <w:pStyle w:val="Heading2"/>
        <w:pBdr>
          <w:bottom w:val="single" w:color="AACCEE" w:sz="4" w:space="2"/>
        </w:pBdr>
        <w:spacing w:after="120" w:before="280"/>
      </w:pPr>
      <w:r>
        <w:rPr>
          <w:rFonts w:ascii="Arial" w:cs="Arial" w:eastAsia="Arial" w:hAnsi="Arial"/>
          <w:b/>
          <w:bCs/>
          <w:color w:val="B02020"/>
          <w:sz w:val="28"/>
          <w:szCs w:val="28"/>
        </w:rPr>
        <w:t xml:space="preserve">Gap 2: No Telephony Adapters</w:t>
      </w:r>
    </w:p>
    <w:p>
      <w:pPr>
        <w:spacing w:after="100"/>
      </w:pPr>
      <w:r>
        <w:rPr>
          <w:rFonts w:ascii="Arial" w:cs="Arial" w:eastAsia="Arial" w:hAnsi="Arial"/>
          <w:color w:val="222222"/>
          <w:sz w:val="22"/>
          <w:szCs w:val="22"/>
        </w:rPr>
        <w:t xml:space="preserve">Currently requires manual audio upload (≤50 MB files). Every major competitor ingests calls directly from CTI systems. In India, Exotel and Knowlarity dominate the mid-market — the lack of an adapter means asking contact centers to change their workflow rather than plug AuditAI into existing infrastructure.</w:t>
      </w:r>
    </w:p>
    <w:p>
      <w:pPr>
        <w:spacing w:after="80"/>
      </w:pPr>
      <w:r>
        <w:t xml:space="preserve"/>
      </w:r>
    </w:p>
    <w:p>
      <w:pPr>
        <w:pStyle w:val="Heading2"/>
        <w:pBdr>
          <w:bottom w:val="single" w:color="AACCEE" w:sz="4" w:space="2"/>
        </w:pBdr>
        <w:spacing w:after="120" w:before="280"/>
      </w:pPr>
      <w:r>
        <w:rPr>
          <w:rFonts w:ascii="Arial" w:cs="Arial" w:eastAsia="Arial" w:hAnsi="Arial"/>
          <w:b/>
          <w:bCs/>
          <w:color w:val="B02020"/>
          <w:sz w:val="28"/>
          <w:szCs w:val="28"/>
        </w:rPr>
        <w:t xml:space="preserve">Gap 3: No Payment Processor Integration</w:t>
      </w:r>
    </w:p>
    <w:p>
      <w:pPr>
        <w:spacing w:after="100"/>
      </w:pPr>
      <w:r>
        <w:rPr>
          <w:rFonts w:ascii="Arial" w:cs="Arial" w:eastAsia="Arial" w:hAnsi="Arial"/>
          <w:color w:val="222222"/>
          <w:sz w:val="22"/>
          <w:szCs w:val="22"/>
        </w:rPr>
        <w:t xml:space="preserve">The billing schema is fully designed (prepaid / postpaid / OTC / GST / TDS) but Stripe/Razorpay is not connected. This blocks self-serve signups and forces manual invoicing — a serious bottleneck for SMB customer acquisition and churn management.</w:t>
      </w:r>
    </w:p>
    <w:p>
      <w:pPr>
        <w:spacing w:after="80"/>
      </w:pPr>
      <w:r>
        <w:t xml:space="preserve"/>
      </w:r>
    </w:p>
    <w:p>
      <w:pPr>
        <w:pStyle w:val="Heading2"/>
        <w:pBdr>
          <w:bottom w:val="single" w:color="AACCEE" w:sz="4" w:space="2"/>
        </w:pBdr>
        <w:spacing w:after="120" w:before="280"/>
      </w:pPr>
      <w:r>
        <w:rPr>
          <w:rFonts w:ascii="Arial" w:cs="Arial" w:eastAsia="Arial" w:hAnsi="Arial"/>
          <w:b/>
          <w:bCs/>
          <w:color w:val="7B5200"/>
          <w:sz w:val="28"/>
          <w:szCs w:val="28"/>
        </w:rPr>
        <w:t xml:space="preserve">Gap 4: No Observability / Error Monitoring</w:t>
      </w:r>
    </w:p>
    <w:p>
      <w:pPr>
        <w:spacing w:after="100"/>
      </w:pPr>
      <w:r>
        <w:rPr>
          <w:rFonts w:ascii="Arial" w:cs="Arial" w:eastAsia="Arial" w:hAnsi="Arial"/>
          <w:color w:val="222222"/>
          <w:sz w:val="22"/>
          <w:szCs w:val="22"/>
        </w:rPr>
        <w:t xml:space="preserve">Known fragility patterns (PROCESSING stuck calls, dashboard zeros, worker crashes) will erode enterprise trust quickly. Competitors have mature SLAs backed by Sentry or Datadog integrations. Adding structured error tracking and alerting should be a V2 prerequisite before enterprise sales outreach.</w:t>
      </w:r>
    </w:p>
    <w:p>
      <w:pPr>
        <w:spacing w:after="80"/>
      </w:pPr>
      <w:r>
        <w:t xml:space="preserve"/>
      </w:r>
    </w:p>
    <w:p>
      <w:pPr>
        <w:pStyle w:val="Heading2"/>
        <w:pBdr>
          <w:bottom w:val="single" w:color="AACCEE" w:sz="4" w:space="2"/>
        </w:pBdr>
        <w:spacing w:after="120" w:before="280"/>
      </w:pPr>
      <w:r>
        <w:rPr>
          <w:rFonts w:ascii="Arial" w:cs="Arial" w:eastAsia="Arial" w:hAnsi="Arial"/>
          <w:b/>
          <w:bCs/>
          <w:color w:val="7B5200"/>
          <w:sz w:val="28"/>
          <w:szCs w:val="28"/>
        </w:rPr>
        <w:t xml:space="preserve">Gap 5: No Secrets Manager</w:t>
      </w:r>
    </w:p>
    <w:p>
      <w:pPr>
        <w:spacing w:after="100"/>
      </w:pPr>
      <w:r>
        <w:rPr>
          <w:rFonts w:ascii="Arial" w:cs="Arial" w:eastAsia="Arial" w:hAnsi="Arial"/>
          <w:color w:val="222222"/>
          <w:sz w:val="22"/>
          <w:szCs w:val="22"/>
        </w:rPr>
        <w:t xml:space="preserve">API keys and sensitive configuration are stored in .env files. For enterprise customers — especially in BFSI and healthcare — this is a security red flag. AWS Secrets Manager or HashiCorp Vault integration should accompany any enterprise tier announcement.</w:t>
      </w:r>
    </w:p>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6. Recommended Enhancement Roadmap</w:t>
      </w:r>
    </w:p>
    <w:p>
      <w:pPr>
        <w:spacing w:after="80"/>
      </w:pPr>
      <w:r>
        <w:t xml:space="preserve"/>
      </w:r>
    </w:p>
    <w:p>
      <w:pPr>
        <w:spacing w:after="100"/>
      </w:pPr>
      <w:r>
        <w:rPr>
          <w:rFonts w:ascii="Arial" w:cs="Arial" w:eastAsia="Arial" w:hAnsi="Arial"/>
          <w:color w:val="222222"/>
          <w:sz w:val="22"/>
          <w:szCs w:val="22"/>
        </w:rPr>
        <w:t xml:space="preserve">Prioritized by impact-to-effort ratio for the Indian market:</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1A7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1
Quick Win</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Razorpay integration — billing schema is already built; connecting a payment processor unlocks self-serve signups and removes the biggest SMB acquisition bottleneck. Estimated: 2-3 weeks.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2A6EB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2
High Impact</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Exotel / Knowlarity telephony connector — webhook-based call ingestion removes upload friction entirely and opens the live-floor market. Exotel API is well-documented. Estimated: 3-4 weeks.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7B52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3
Foundational</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Sentry + structured alerting — required before enterprise sales. Instrument worker pipeline stages, LLM calls, and dashboard aggregation. Add PagerDuty webhook for PROCESSING-stuck calls. Estimated: 1-2 weeks.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1A5C2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4
Differentiator</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Near-real-time scoring mode — a 10-15s fast-audit path using a lighter LLM call (Gemini Flash) with fewer pillars would allow AuditAI to market live-floor capability even before full real-time assist is built. Estimated: 3-5 weeks.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44444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5
Enterprise</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AWS Secrets Manager / HashiCorp Vault — replace .env key storage for enterprise accounts. The ClientAIProvider AES-256-GCM encryption is already in place; Vault adds rotation and audit trails. Estimated: 2-3 weeks.</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6
Competitive</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Prompt A/B testing dashboard — expose the LLM-agnostic infrastructure as a product feature. Let QA managers compare Gemini vs GPT-4o scores on the same calls. Unique to AuditAI and valuable for scoring explainability.</w:t>
            </w:r>
          </w:p>
        </w:tc>
      </w:tr>
    </w:tbl>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tcBorders>
              <w:top w:val="single" w:color="CCCCCC" w:sz="4"/>
              <w:left w:val="single" w:color="CCCCCC" w:sz="4"/>
              <w:bottom w:val="single" w:color="CCCCCC" w:sz="4"/>
              <w:right w:val="single" w:color="CCCCCC" w:sz="4"/>
            </w:tcBorders>
            <w:shd w:fill="6B101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 7
V3 Vision</w:t>
            </w:r>
          </w:p>
        </w:tc>
        <w:tc>
          <w:tcPr>
            <w:tcW w:type="dxa" w:w="7000"/>
            <w:tcBorders>
              <w:top w:val="single" w:color="CCCCCC" w:sz="4"/>
              <w:left w:val="single" w:color="CCCCCC" w:sz="4"/>
              <w:bottom w:val="single" w:color="CCCCCC" w:sz="4"/>
              <w:right w:val="single" w:color="CCCCCC" w:sz="4"/>
            </w:tcBorders>
            <w:shd w:fill="F4F4F4" w:val="clear"/>
            <w:tcMar>
              <w:top w:type="dxa" w:w="80"/>
              <w:left w:type="dxa" w:w="160"/>
              <w:bottom w:type="dxa" w:w="80"/>
              <w:right w:type="dxa" w:w="120"/>
            </w:tcMar>
          </w:tcPr>
          <w:p>
            <w:r>
              <w:rPr>
                <w:rFonts w:ascii="Arial" w:cs="Arial" w:eastAsia="Arial" w:hAnsi="Arial"/>
                <w:color w:val="333333"/>
                <w:sz w:val="20"/>
                <w:szCs w:val="20"/>
              </w:rPr>
              <w:t xml:space="preserve">Real-time agent assist (WebSocket + streaming ASR) — the largest engineering effort but the most important for long-term market share. Enables AuditAI to compete at the Observe.AI / Level AI tier. Estimated: 8-12 weeks.</w:t>
            </w:r>
          </w:p>
        </w:tc>
      </w:tr>
    </w:tbl>
    <w:p>
      <w:pPr>
        <w:spacing w:after="80"/>
      </w:pPr>
      <w:r>
        <w:t xml:space="preserve"/>
      </w:r>
    </w:p>
    <w:p>
      <w:r>
        <w:br w:type="page"/>
      </w:r>
    </w:p>
    <w:p>
      <w:pPr>
        <w:pStyle w:val="Heading1"/>
        <w:pBdr>
          <w:bottom w:val="single" w:color="4A90D9" w:sz="6" w:space="2"/>
        </w:pBdr>
        <w:shd w:fill="1E3A5F" w:val="clear"/>
        <w:spacing w:after="160" w:before="320"/>
        <w:ind w:left="240" w:right="240"/>
      </w:pPr>
      <w:r>
        <w:rPr>
          <w:rFonts w:ascii="Arial" w:cs="Arial" w:eastAsia="Arial" w:hAnsi="Arial"/>
          <w:b/>
          <w:bCs/>
          <w:color w:val="FFFFFF"/>
          <w:sz w:val="36"/>
          <w:szCs w:val="36"/>
        </w:rPr>
        <w:t xml:space="preserve">7. Current Production Readiness</w:t>
      </w:r>
    </w:p>
    <w:p>
      <w:pPr>
        <w:spacing w:after="80"/>
      </w:pPr>
      <w:r>
        <w:t xml:space="preserve"/>
      </w:r>
    </w:p>
    <w:p>
      <w:pPr>
        <w:pStyle w:val="Heading2"/>
        <w:pBdr>
          <w:bottom w:val="single" w:color="AACCEE" w:sz="4" w:space="2"/>
        </w:pBdr>
        <w:spacing w:after="120" w:before="280"/>
      </w:pPr>
      <w:r>
        <w:rPr>
          <w:rFonts w:ascii="Arial" w:cs="Arial" w:eastAsia="Arial" w:hAnsi="Arial"/>
          <w:b/>
          <w:bCs/>
          <w:color w:val="1A7A4A"/>
          <w:sz w:val="28"/>
          <w:szCs w:val="28"/>
        </w:rPr>
        <w:t xml:space="preserve">What's Complete (V1)</w:t>
      </w:r>
    </w:p>
    <w:p>
      <w:pPr>
        <w:pStyle w:val="ListParagraph"/>
        <w:numPr>
          <w:ilvl w:val="0"/>
          <w:numId w:val="4"/>
        </w:numPr>
        <w:spacing w:after="60"/>
      </w:pPr>
      <w:r>
        <w:rPr>
          <w:rFonts w:ascii="Arial" w:cs="Arial" w:eastAsia="Arial" w:hAnsi="Arial"/>
          <w:color w:val="1A4A2E"/>
          <w:sz w:val="22"/>
          <w:szCs w:val="22"/>
        </w:rPr>
        <w:t xml:space="preserve">Full pipeline: upload → ASR → orchestrator → LLM → scoring → dashboards</w:t>
      </w:r>
    </w:p>
    <w:p>
      <w:pPr>
        <w:pStyle w:val="ListParagraph"/>
        <w:numPr>
          <w:ilvl w:val="0"/>
          <w:numId w:val="4"/>
        </w:numPr>
        <w:spacing w:after="60"/>
      </w:pPr>
      <w:r>
        <w:rPr>
          <w:rFonts w:ascii="Arial" w:cs="Arial" w:eastAsia="Arial" w:hAnsi="Arial"/>
          <w:color w:val="1A4A2E"/>
          <w:sz w:val="22"/>
          <w:szCs w:val="22"/>
        </w:rPr>
        <w:t xml:space="preserve">Multi-tenant isolation with RBAC and clientId scoping</w:t>
      </w:r>
    </w:p>
    <w:p>
      <w:pPr>
        <w:pStyle w:val="ListParagraph"/>
        <w:numPr>
          <w:ilvl w:val="0"/>
          <w:numId w:val="4"/>
        </w:numPr>
        <w:spacing w:after="60"/>
      </w:pPr>
      <w:r>
        <w:rPr>
          <w:rFonts w:ascii="Arial" w:cs="Arial" w:eastAsia="Arial" w:hAnsi="Arial"/>
          <w:color w:val="1A4A2E"/>
          <w:sz w:val="22"/>
          <w:szCs w:val="22"/>
        </w:rPr>
        <w:t xml:space="preserve">JWT auth + refresh tokens + session revocation</w:t>
      </w:r>
    </w:p>
    <w:p>
      <w:pPr>
        <w:pStyle w:val="ListParagraph"/>
        <w:numPr>
          <w:ilvl w:val="0"/>
          <w:numId w:val="4"/>
        </w:numPr>
        <w:spacing w:after="60"/>
      </w:pPr>
      <w:r>
        <w:rPr>
          <w:rFonts w:ascii="Arial" w:cs="Arial" w:eastAsia="Arial" w:hAnsi="Arial"/>
          <w:color w:val="1A4A2E"/>
          <w:sz w:val="22"/>
          <w:szCs w:val="22"/>
        </w:rPr>
        <w:t xml:space="preserve">5-role portals (Agent, Manager, Admin, Super Admin, KAM) wired to real data</w:t>
      </w:r>
    </w:p>
    <w:p>
      <w:pPr>
        <w:pStyle w:val="ListParagraph"/>
        <w:numPr>
          <w:ilvl w:val="0"/>
          <w:numId w:val="4"/>
        </w:numPr>
        <w:spacing w:after="60"/>
      </w:pPr>
      <w:r>
        <w:rPr>
          <w:rFonts w:ascii="Arial" w:cs="Arial" w:eastAsia="Arial" w:hAnsi="Arial"/>
          <w:color w:val="1A4A2E"/>
          <w:sz w:val="22"/>
          <w:szCs w:val="22"/>
        </w:rPr>
        <w:t xml:space="preserve">LLM scoring with per-call cost and latency tracking</w:t>
      </w:r>
    </w:p>
    <w:p>
      <w:pPr>
        <w:pStyle w:val="ListParagraph"/>
        <w:numPr>
          <w:ilvl w:val="0"/>
          <w:numId w:val="4"/>
        </w:numPr>
        <w:spacing w:after="60"/>
      </w:pPr>
      <w:r>
        <w:rPr>
          <w:rFonts w:ascii="Arial" w:cs="Arial" w:eastAsia="Arial" w:hAnsi="Arial"/>
          <w:color w:val="1A4A2E"/>
          <w:sz w:val="22"/>
          <w:szCs w:val="22"/>
        </w:rPr>
        <w:t xml:space="preserve">Per-segment emotion, gender, language + speaker mapping</w:t>
      </w:r>
    </w:p>
    <w:p>
      <w:pPr>
        <w:pStyle w:val="ListParagraph"/>
        <w:numPr>
          <w:ilvl w:val="0"/>
          <w:numId w:val="4"/>
        </w:numPr>
        <w:spacing w:after="60"/>
      </w:pPr>
      <w:r>
        <w:rPr>
          <w:rFonts w:ascii="Arial" w:cs="Arial" w:eastAsia="Arial" w:hAnsi="Arial"/>
          <w:color w:val="1A4A2E"/>
          <w:sz w:val="22"/>
          <w:szCs w:val="22"/>
        </w:rPr>
        <w:t xml:space="preserve">Compliance flags + heatmap + coaching assignment workflow</w:t>
      </w:r>
    </w:p>
    <w:p>
      <w:pPr>
        <w:pStyle w:val="ListParagraph"/>
        <w:numPr>
          <w:ilvl w:val="0"/>
          <w:numId w:val="4"/>
        </w:numPr>
        <w:spacing w:after="60"/>
      </w:pPr>
      <w:r>
        <w:rPr>
          <w:rFonts w:ascii="Arial" w:cs="Arial" w:eastAsia="Arial" w:hAnsi="Arial"/>
          <w:color w:val="1A4A2E"/>
          <w:sz w:val="22"/>
          <w:szCs w:val="22"/>
        </w:rPr>
        <w:t xml:space="preserve">Voice identity enrollment, matching, and human review</w:t>
      </w:r>
    </w:p>
    <w:p>
      <w:pPr>
        <w:pStyle w:val="ListParagraph"/>
        <w:numPr>
          <w:ilvl w:val="0"/>
          <w:numId w:val="4"/>
        </w:numPr>
        <w:spacing w:after="60"/>
      </w:pPr>
      <w:r>
        <w:rPr>
          <w:rFonts w:ascii="Arial" w:cs="Arial" w:eastAsia="Arial" w:hAnsi="Arial"/>
          <w:color w:val="1A4A2E"/>
          <w:sz w:val="22"/>
          <w:szCs w:val="22"/>
        </w:rPr>
        <w:t xml:space="preserve">Knowledge base + evaluation template system</w:t>
      </w:r>
    </w:p>
    <w:p>
      <w:pPr>
        <w:pStyle w:val="ListParagraph"/>
        <w:numPr>
          <w:ilvl w:val="0"/>
          <w:numId w:val="4"/>
        </w:numPr>
        <w:spacing w:after="60"/>
      </w:pPr>
      <w:r>
        <w:rPr>
          <w:rFonts w:ascii="Arial" w:cs="Arial" w:eastAsia="Arial" w:hAnsi="Arial"/>
          <w:color w:val="1A4A2E"/>
          <w:sz w:val="22"/>
          <w:szCs w:val="22"/>
        </w:rPr>
        <w:t xml:space="preserve">Billing schema: prepaid / postpaid / OTC / GST / TDS</w:t>
      </w:r>
    </w:p>
    <w:p>
      <w:pPr>
        <w:pStyle w:val="ListParagraph"/>
        <w:numPr>
          <w:ilvl w:val="0"/>
          <w:numId w:val="4"/>
        </w:numPr>
        <w:spacing w:after="60"/>
      </w:pPr>
      <w:r>
        <w:rPr>
          <w:rFonts w:ascii="Arial" w:cs="Arial" w:eastAsia="Arial" w:hAnsi="Arial"/>
          <w:color w:val="1A4A2E"/>
          <w:sz w:val="22"/>
          <w:szCs w:val="22"/>
        </w:rPr>
        <w:t xml:space="preserve">Feature flags, role permissions, AI model management</w:t>
      </w:r>
    </w:p>
    <w:p>
      <w:pPr>
        <w:pStyle w:val="ListParagraph"/>
        <w:numPr>
          <w:ilvl w:val="0"/>
          <w:numId w:val="4"/>
        </w:numPr>
        <w:spacing w:after="60"/>
      </w:pPr>
      <w:r>
        <w:rPr>
          <w:rFonts w:ascii="Arial" w:cs="Arial" w:eastAsia="Arial" w:hAnsi="Arial"/>
          <w:color w:val="1A4A2E"/>
          <w:sz w:val="22"/>
          <w:szCs w:val="22"/>
        </w:rPr>
        <w:t xml:space="preserve">Insights AI chat (SQL-backed natural language queries)</w:t>
      </w:r>
    </w:p>
    <w:p>
      <w:pPr>
        <w:pStyle w:val="ListParagraph"/>
        <w:numPr>
          <w:ilvl w:val="0"/>
          <w:numId w:val="4"/>
        </w:numPr>
        <w:spacing w:after="60"/>
      </w:pPr>
      <w:r>
        <w:rPr>
          <w:rFonts w:ascii="Arial" w:cs="Arial" w:eastAsia="Arial" w:hAnsi="Arial"/>
          <w:color w:val="1A4A2E"/>
          <w:sz w:val="22"/>
          <w:szCs w:val="22"/>
        </w:rPr>
        <w:t xml:space="preserve">Export: CSV, Excel, PDF</w:t>
      </w:r>
    </w:p>
    <w:p>
      <w:pPr>
        <w:pStyle w:val="ListParagraph"/>
        <w:numPr>
          <w:ilvl w:val="0"/>
          <w:numId w:val="4"/>
        </w:numPr>
        <w:spacing w:after="60"/>
      </w:pPr>
      <w:r>
        <w:rPr>
          <w:rFonts w:ascii="Arial" w:cs="Arial" w:eastAsia="Arial" w:hAnsi="Arial"/>
          <w:color w:val="1A4A2E"/>
          <w:sz w:val="22"/>
          <w:szCs w:val="22"/>
        </w:rPr>
        <w:t xml:space="preserve">CI/CD: GitHub Actions → GHCR → VPS</w:t>
      </w:r>
    </w:p>
    <w:p>
      <w:pPr>
        <w:spacing w:after="80"/>
      </w:pPr>
      <w:r>
        <w:t xml:space="preserve"/>
      </w:r>
    </w:p>
    <w:p>
      <w:pPr>
        <w:pStyle w:val="Heading2"/>
        <w:pBdr>
          <w:bottom w:val="single" w:color="AACCEE" w:sz="4" w:space="2"/>
        </w:pBdr>
        <w:spacing w:after="120" w:before="280"/>
      </w:pPr>
      <w:r>
        <w:rPr>
          <w:rFonts w:ascii="Arial" w:cs="Arial" w:eastAsia="Arial" w:hAnsi="Arial"/>
          <w:b/>
          <w:bCs/>
          <w:color w:val="7B5200"/>
          <w:sz w:val="28"/>
          <w:szCs w:val="28"/>
        </w:rPr>
        <w:t xml:space="preserve">Known Rough Edges</w:t>
      </w:r>
    </w:p>
    <w:p>
      <w:pPr>
        <w:pStyle w:val="ListParagraph"/>
        <w:numPr>
          <w:ilvl w:val="0"/>
          <w:numId w:val="5"/>
        </w:numPr>
        <w:spacing w:after="60"/>
      </w:pPr>
      <w:r>
        <w:rPr>
          <w:rFonts w:ascii="Arial" w:cs="Arial" w:eastAsia="Arial" w:hAnsi="Arial"/>
          <w:color w:val="6B1010"/>
          <w:sz w:val="22"/>
          <w:szCs w:val="22"/>
        </w:rPr>
        <w:t xml:space="preserve">Some frontend components crash on unexpected API shape (empty data returns different structure)</w:t>
      </w:r>
    </w:p>
    <w:p>
      <w:pPr>
        <w:pStyle w:val="ListParagraph"/>
        <w:numPr>
          <w:ilvl w:val="0"/>
          <w:numId w:val="5"/>
        </w:numPr>
        <w:spacing w:after="60"/>
      </w:pPr>
      <w:r>
        <w:rPr>
          <w:rFonts w:ascii="Arial" w:cs="Arial" w:eastAsia="Arial" w:hAnsi="Arial"/>
          <w:color w:val="6B1010"/>
          <w:sz w:val="22"/>
          <w:szCs w:val="22"/>
        </w:rPr>
        <w:t xml:space="preserve">Orchestrator first-boot: 60-90 seconds cold start</w:t>
      </w:r>
    </w:p>
    <w:p>
      <w:pPr>
        <w:pStyle w:val="ListParagraph"/>
        <w:numPr>
          <w:ilvl w:val="0"/>
          <w:numId w:val="5"/>
        </w:numPr>
        <w:spacing w:after="60"/>
      </w:pPr>
      <w:r>
        <w:rPr>
          <w:rFonts w:ascii="Arial" w:cs="Arial" w:eastAsia="Arial" w:hAnsi="Arial"/>
          <w:color w:val="6B1010"/>
          <w:sz w:val="22"/>
          <w:szCs w:val="22"/>
        </w:rPr>
        <w:t xml:space="preserve">Redis rate limiter disabled in dev (in-memory fallback — not safe for production load tests)</w:t>
      </w:r>
    </w:p>
    <w:p>
      <w:pPr>
        <w:spacing w:after="80"/>
      </w:pPr>
      <w:r>
        <w:t xml:space="preserve"/>
      </w:r>
    </w:p>
    <w:p>
      <w:pPr>
        <w:pStyle w:val="Heading2"/>
        <w:pBdr>
          <w:bottom w:val="single" w:color="AACCEE" w:sz="4" w:space="2"/>
        </w:pBdr>
        <w:spacing w:after="120" w:before="280"/>
      </w:pPr>
      <w:r>
        <w:rPr>
          <w:rFonts w:ascii="Arial" w:cs="Arial" w:eastAsia="Arial" w:hAnsi="Arial"/>
          <w:b/>
          <w:bCs/>
          <w:color w:val="B02020"/>
          <w:sz w:val="28"/>
          <w:szCs w:val="28"/>
        </w:rPr>
        <w:t xml:space="preserve">Not Yet Built (V2 Roadmap)</w:t>
      </w:r>
    </w:p>
    <w:p>
      <w:pPr>
        <w:pStyle w:val="ListParagraph"/>
        <w:numPr>
          <w:ilvl w:val="0"/>
          <w:numId w:val="5"/>
        </w:numPr>
        <w:spacing w:after="60"/>
      </w:pPr>
      <w:r>
        <w:rPr>
          <w:rFonts w:ascii="Arial" w:cs="Arial" w:eastAsia="Arial" w:hAnsi="Arial"/>
          <w:color w:val="6B1010"/>
          <w:sz w:val="22"/>
          <w:szCs w:val="22"/>
        </w:rPr>
        <w:t xml:space="preserve">Stripe / Razorpay payment processor integration</w:t>
      </w:r>
    </w:p>
    <w:p>
      <w:pPr>
        <w:pStyle w:val="ListParagraph"/>
        <w:numPr>
          <w:ilvl w:val="0"/>
          <w:numId w:val="5"/>
        </w:numPr>
        <w:spacing w:after="60"/>
      </w:pPr>
      <w:r>
        <w:rPr>
          <w:rFonts w:ascii="Arial" w:cs="Arial" w:eastAsia="Arial" w:hAnsi="Arial"/>
          <w:color w:val="6B1010"/>
          <w:sz w:val="22"/>
          <w:szCs w:val="22"/>
        </w:rPr>
        <w:t xml:space="preserve">Real-time streaming transcription and agent assist</w:t>
      </w:r>
    </w:p>
    <w:p>
      <w:pPr>
        <w:pStyle w:val="ListParagraph"/>
        <w:numPr>
          <w:ilvl w:val="0"/>
          <w:numId w:val="5"/>
        </w:numPr>
        <w:spacing w:after="60"/>
      </w:pPr>
      <w:r>
        <w:rPr>
          <w:rFonts w:ascii="Arial" w:cs="Arial" w:eastAsia="Arial" w:hAnsi="Arial"/>
          <w:color w:val="6B1010"/>
          <w:sz w:val="22"/>
          <w:szCs w:val="22"/>
        </w:rPr>
        <w:t xml:space="preserve">Telephony adapters (Twilio, Exotel, RingCentral, Knowlarity)</w:t>
      </w:r>
    </w:p>
    <w:p>
      <w:pPr>
        <w:pStyle w:val="ListParagraph"/>
        <w:numPr>
          <w:ilvl w:val="0"/>
          <w:numId w:val="5"/>
        </w:numPr>
        <w:spacing w:after="60"/>
      </w:pPr>
      <w:r>
        <w:rPr>
          <w:rFonts w:ascii="Arial" w:cs="Arial" w:eastAsia="Arial" w:hAnsi="Arial"/>
          <w:color w:val="6B1010"/>
          <w:sz w:val="22"/>
          <w:szCs w:val="22"/>
        </w:rPr>
        <w:t xml:space="preserve">Sentry / OpenTelemetry observability</w:t>
      </w:r>
    </w:p>
    <w:p>
      <w:pPr>
        <w:pStyle w:val="ListParagraph"/>
        <w:numPr>
          <w:ilvl w:val="0"/>
          <w:numId w:val="5"/>
        </w:numPr>
        <w:spacing w:after="60"/>
      </w:pPr>
      <w:r>
        <w:rPr>
          <w:rFonts w:ascii="Arial" w:cs="Arial" w:eastAsia="Arial" w:hAnsi="Arial"/>
          <w:color w:val="6B1010"/>
          <w:sz w:val="22"/>
          <w:szCs w:val="22"/>
        </w:rPr>
        <w:t xml:space="preserve">Secrets manager (AWS Secrets Manager / HashiCorp Vault)</w:t>
      </w:r>
    </w:p>
    <w:p>
      <w:pPr>
        <w:pStyle w:val="ListParagraph"/>
        <w:numPr>
          <w:ilvl w:val="0"/>
          <w:numId w:val="5"/>
        </w:numPr>
        <w:spacing w:after="60"/>
      </w:pPr>
      <w:r>
        <w:rPr>
          <w:rFonts w:ascii="Arial" w:cs="Arial" w:eastAsia="Arial" w:hAnsi="Arial"/>
          <w:color w:val="6B1010"/>
          <w:sz w:val="22"/>
          <w:szCs w:val="22"/>
        </w:rPr>
        <w:t xml:space="preserve">Prompt A/B testing framework</w:t>
      </w:r>
    </w:p>
    <w:p>
      <w:pPr>
        <w:pStyle w:val="ListParagraph"/>
        <w:numPr>
          <w:ilvl w:val="0"/>
          <w:numId w:val="5"/>
        </w:numPr>
        <w:spacing w:after="60"/>
      </w:pPr>
      <w:r>
        <w:rPr>
          <w:rFonts w:ascii="Arial" w:cs="Arial" w:eastAsia="Arial" w:hAnsi="Arial"/>
          <w:color w:val="6B1010"/>
          <w:sz w:val="22"/>
          <w:szCs w:val="22"/>
        </w:rPr>
        <w:t xml:space="preserve">Persistent training simulations</w:t>
      </w:r>
    </w:p>
    <w:p>
      <w:pPr>
        <w:pStyle w:val="ListParagraph"/>
        <w:numPr>
          <w:ilvl w:val="0"/>
          <w:numId w:val="5"/>
        </w:numPr>
        <w:spacing w:after="60"/>
      </w:pPr>
      <w:r>
        <w:rPr>
          <w:rFonts w:ascii="Arial" w:cs="Arial" w:eastAsia="Arial" w:hAnsi="Arial"/>
          <w:color w:val="6B1010"/>
          <w:sz w:val="22"/>
          <w:szCs w:val="22"/>
        </w:rPr>
        <w:t xml:space="preserve">Cloud object storage bucket configuration (code is ready; bucket not provisioned)</w:t>
      </w:r>
    </w:p>
    <w:p>
      <w:pPr>
        <w:spacing w:after="80"/>
      </w:pPr>
      <w:r>
        <w:t xml:space="preserve"/>
      </w:r>
    </w:p>
    <w:p>
      <w:pPr>
        <w:spacing w:after="80"/>
      </w:pPr>
      <w:r>
        <w:t xml:space="preserve"/>
      </w:r>
    </w:p>
    <w:p>
      <w:pPr>
        <w:pBdr>
          <w:top w:val="single" w:color="CCCCCC" w:sz="4" w:space="4"/>
        </w:pBdr>
        <w:spacing w:before="240"/>
        <w:jc w:val="center"/>
      </w:pPr>
      <w:r>
        <w:rPr>
          <w:rFonts w:ascii="Arial" w:cs="Arial" w:eastAsia="Arial" w:hAnsi="Arial"/>
          <w:i/>
          <w:iCs/>
          <w:color w:val="888888"/>
          <w:sz w:val="18"/>
          <w:szCs w:val="18"/>
        </w:rPr>
        <w:t xml:space="preserve">Generated: June 26, 2026  |  AuditAI v2-dev-backup  |  conversa-iq.thevertical.ai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A6EB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2026-06-26T06:24:58.014Z</dcterms:created>
  <dcterms:modified xsi:type="dcterms:W3CDTF">2026-06-26T06:24:58.015Z</dcterms:modified>
</cp:coreProperties>
</file>

<file path=docProps/custom.xml><?xml version="1.0" encoding="utf-8"?>
<Properties xmlns="http://schemas.openxmlformats.org/officeDocument/2006/custom-properties" xmlns:vt="http://schemas.openxmlformats.org/officeDocument/2006/docPropsVTypes"/>
</file>