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Capítulo 4: Gestión y Dirección del Proyecto URBIX</w:t>
      </w:r>
    </w:p>
    <w:p>
      <w:pPr>
        <w:pStyle w:val="Subtitle"/>
      </w:pPr>
      <w:r>
        <w:t xml:space="preserve">Sistema de Gestión de Limpieza Urbana</w:t>
      </w:r>
    </w:p>
    <w:p>
      <w:pPr>
        <w:pStyle w:val="Author"/>
      </w:pPr>
      <w:r>
        <w:t xml:space="preserve">Trabajo de Fin de Máster</w:t>
      </w:r>
    </w:p>
    <w:p>
      <w:pPr>
        <w:pStyle w:val="Date"/>
      </w:pPr>
      <w:r>
        <w:t xml:space="preserve">11 de febrero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40" w:name="X6bdebff3c2b98f8ed51e8367504a1dc4ed35e3d"/>
    <w:p>
      <w:pPr>
        <w:pStyle w:val="Heading1"/>
      </w:pPr>
      <w:r>
        <w:rPr>
          <w:rStyle w:val="SectionNumber"/>
        </w:rPr>
        <w:t xml:space="preserve">1</w:t>
      </w:r>
      <w:r>
        <w:tab/>
      </w:r>
      <w:r>
        <w:t xml:space="preserve">Capítulo 4: Gestión y Dirección del Proyecto</w:t>
      </w:r>
    </w:p>
    <w:bookmarkStart w:id="12" w:name="introducción-a-la-gestión-del-proyecto"/>
    <w:p>
      <w:pPr>
        <w:pStyle w:val="Heading2"/>
      </w:pPr>
      <w:r>
        <w:rPr>
          <w:rStyle w:val="SectionNumber"/>
        </w:rPr>
        <w:t xml:space="preserve">1.1</w:t>
      </w:r>
      <w:r>
        <w:tab/>
      </w:r>
      <w:r>
        <w:t xml:space="preserve">4.1 Introducción a la Gestión del Proyecto</w:t>
      </w:r>
    </w:p>
    <w:bookmarkStart w:id="9" w:name="contexto-y-naturaleza-del-proyecto"/>
    <w:p>
      <w:pPr>
        <w:pStyle w:val="Heading3"/>
      </w:pPr>
      <w:r>
        <w:rPr>
          <w:rStyle w:val="SectionNumber"/>
        </w:rPr>
        <w:t xml:space="preserve">1.1.1</w:t>
      </w:r>
      <w:r>
        <w:tab/>
      </w:r>
      <w:r>
        <w:t xml:space="preserve">4.1.1 Contexto y Naturaleza del Proyecto</w:t>
      </w:r>
    </w:p>
    <w:p>
      <w:pPr>
        <w:pStyle w:val="FirstParagraph"/>
      </w:pPr>
      <w:r>
        <w:t xml:space="preserve">El desarrollo del Sistema de Gestión de Limpieza Urbana (URBIX) se enmarcó dentro de un proyecto académico de Trabajo de Fin de Máster, caracterizado por la necesidad de aplicar metodologías avanzadas de ingeniería de software y gestión de proyectos. La naturaleza individual del proyecto requirió la asunción de múltiples roles técnicos y de gestión, desde la especificación de requisitos hasta la implementación y validación del sistema completo.</w:t>
      </w:r>
    </w:p>
    <w:p>
      <w:pPr>
        <w:pStyle w:val="BodyText"/>
      </w:pPr>
      <w:r>
        <w:t xml:space="preserve">El proyecto se desarrolló bajo la premisa de crear un sistema de calidad empresarial que pudiera servir como demostración práctica de la aplicación sistemática de metodologías de desarrollo de software. Esta aproximación implicó la adopción de estándares de calidad superiores a los típicamente requeridos en contextos académicos, con el objetivo de validar la viabilidad de metodologías avanzadas en proyectos de complejidad técnica elevada.</w:t>
      </w:r>
    </w:p>
    <w:bookmarkEnd w:id="9"/>
    <w:bookmarkStart w:id="10" w:name="objetivos-de-la-gestión-del-proyecto"/>
    <w:p>
      <w:pPr>
        <w:pStyle w:val="Heading3"/>
      </w:pPr>
      <w:r>
        <w:rPr>
          <w:rStyle w:val="SectionNumber"/>
        </w:rPr>
        <w:t xml:space="preserve">1.1.2</w:t>
      </w:r>
      <w:r>
        <w:tab/>
      </w:r>
      <w:r>
        <w:t xml:space="preserve">4.1.2 Objetivos de la Gestión del Proyecto</w:t>
      </w:r>
    </w:p>
    <w:p>
      <w:pPr>
        <w:pStyle w:val="FirstParagraph"/>
      </w:pPr>
      <w:r>
        <w:t xml:space="preserve">El objetivo principal de la gestión del proyecto consistió en desarrollar un sistema funcional de gestión de limpieza urbana que optimizara la asignación de recursos municipales mediante algoritmos de priorización automática, manteniendo estándares de calidad empresarial y cumpliendo con los requisitos académicos establecidos.</w:t>
      </w:r>
    </w:p>
    <w:p>
      <w:pPr>
        <w:pStyle w:val="BodyText"/>
      </w:pPr>
      <w:r>
        <w:t xml:space="preserve">Los objetivos específicos de gestión incluyeron:</w:t>
      </w:r>
      <w:r>
        <w:t xml:space="preserve"> </w:t>
      </w:r>
      <w:r>
        <w:t xml:space="preserve">- Implementar una metodología de desarrollo que garantizara la trazabilidad completa desde requisitos hasta implementación</w:t>
      </w:r>
      <w:r>
        <w:t xml:space="preserve"> </w:t>
      </w:r>
      <w:r>
        <w:t xml:space="preserve">- Mantener control estricto del alcance y cronograma del proyecto</w:t>
      </w:r>
      <w:r>
        <w:t xml:space="preserve"> </w:t>
      </w:r>
      <w:r>
        <w:t xml:space="preserve">- Asegurar la calidad del producto mediante estrategias de validación multinivel</w:t>
      </w:r>
      <w:r>
        <w:t xml:space="preserve"> </w:t>
      </w:r>
      <w:r>
        <w:t xml:space="preserve">- Gestionar proactivamente los riesgos técnicos inherentes a la complejidad del sistema</w:t>
      </w:r>
      <w:r>
        <w:t xml:space="preserve"> </w:t>
      </w:r>
      <w:r>
        <w:t xml:space="preserve">- Documentar sistemáticamente el proceso de desarrollo para facilitar la replicabilidad</w:t>
      </w:r>
    </w:p>
    <w:bookmarkEnd w:id="10"/>
    <w:bookmarkStart w:id="11" w:name="roles-asumidos-en-el-proyecto-individual"/>
    <w:p>
      <w:pPr>
        <w:pStyle w:val="Heading3"/>
      </w:pPr>
      <w:r>
        <w:rPr>
          <w:rStyle w:val="SectionNumber"/>
        </w:rPr>
        <w:t xml:space="preserve">1.1.3</w:t>
      </w:r>
      <w:r>
        <w:tab/>
      </w:r>
      <w:r>
        <w:t xml:space="preserve">4.1.3 Roles Asumidos en el Proyecto Individual</w:t>
      </w:r>
    </w:p>
    <w:p>
      <w:pPr>
        <w:pStyle w:val="FirstParagraph"/>
      </w:pPr>
      <w:r>
        <w:t xml:space="preserve">Dado el carácter individual del proyecto, fue necesario asumir múltiples roles especializados:</w:t>
      </w:r>
    </w:p>
    <w:p>
      <w:pPr>
        <w:pStyle w:val="BodyText"/>
      </w:pPr>
      <w:r>
        <w:rPr>
          <w:b/>
          <w:bCs/>
        </w:rPr>
        <w:t xml:space="preserve">Rol de Gestión de Proyecto</w:t>
      </w:r>
      <w:r>
        <w:t xml:space="preserve">: Responsabilidad completa de planificación, seguimiento y control del proyecto, incluyendo la definición de cronogramas, gestión de riesgos y control de calidad.</w:t>
      </w:r>
    </w:p>
    <w:p>
      <w:pPr>
        <w:pStyle w:val="BodyText"/>
      </w:pPr>
      <w:r>
        <w:rPr>
          <w:b/>
          <w:bCs/>
        </w:rPr>
        <w:t xml:space="preserve">Rol de Arquitecto de Software</w:t>
      </w:r>
      <w:r>
        <w:t xml:space="preserve">: Diseño de la arquitectura del sistema, selección del stack tecnológico y definición de patrones arquitectónicos.</w:t>
      </w:r>
    </w:p>
    <w:p>
      <w:pPr>
        <w:pStyle w:val="BodyText"/>
      </w:pPr>
      <w:r>
        <w:rPr>
          <w:b/>
          <w:bCs/>
        </w:rPr>
        <w:t xml:space="preserve">Rol de Desarrollador Backend</w:t>
      </w:r>
      <w:r>
        <w:t xml:space="preserve">: Implementación de la lógica de negocio, APIs REST y integración con base de datos geoespacial.</w:t>
      </w:r>
    </w:p>
    <w:p>
      <w:pPr>
        <w:pStyle w:val="BodyText"/>
      </w:pPr>
      <w:r>
        <w:rPr>
          <w:b/>
          <w:bCs/>
        </w:rPr>
        <w:t xml:space="preserve">Rol de Desarrollador Frontend</w:t>
      </w:r>
      <w:r>
        <w:t xml:space="preserve">: Desarrollo de la interfaz de usuario responsive y componentes de visualización geográfica.</w:t>
      </w:r>
    </w:p>
    <w:p>
      <w:pPr>
        <w:pStyle w:val="BodyText"/>
      </w:pPr>
      <w:r>
        <w:rPr>
          <w:b/>
          <w:bCs/>
        </w:rPr>
        <w:t xml:space="preserve">Rol de Ingeniero de Calidad</w:t>
      </w:r>
      <w:r>
        <w:t xml:space="preserve">: Diseño e implementación de estrategias de testing multinivel, incluyendo pruebas unitarias, de integración y basadas en propiedades.</w:t>
      </w:r>
    </w:p>
    <w:p>
      <w:pPr>
        <w:pStyle w:val="BodyText"/>
      </w:pPr>
      <w:r>
        <w:rPr>
          <w:b/>
          <w:bCs/>
        </w:rPr>
        <w:t xml:space="preserve">Rol de Ingeniero DevOps</w:t>
      </w:r>
      <w:r>
        <w:t xml:space="preserve">: Configuración de entornos de desarrollo, containerización y preparación para despliegue en producción.</w:t>
      </w:r>
    </w:p>
    <w:bookmarkEnd w:id="11"/>
    <w:bookmarkEnd w:id="12"/>
    <w:bookmarkStart w:id="16" w:name="metodología-adoptada-y-justificación"/>
    <w:p>
      <w:pPr>
        <w:pStyle w:val="Heading2"/>
      </w:pPr>
      <w:r>
        <w:rPr>
          <w:rStyle w:val="SectionNumber"/>
        </w:rPr>
        <w:t xml:space="preserve">1.2</w:t>
      </w:r>
      <w:r>
        <w:tab/>
      </w:r>
      <w:r>
        <w:t xml:space="preserve">4.2 Metodología Adoptada y Justificación</w:t>
      </w:r>
    </w:p>
    <w:bookmarkStart w:id="13" w:name="selección-de-spec-driven-development"/>
    <w:p>
      <w:pPr>
        <w:pStyle w:val="Heading3"/>
      </w:pPr>
      <w:r>
        <w:rPr>
          <w:rStyle w:val="SectionNumber"/>
        </w:rPr>
        <w:t xml:space="preserve">1.2.1</w:t>
      </w:r>
      <w:r>
        <w:tab/>
      </w:r>
      <w:r>
        <w:t xml:space="preserve">4.2.1 Selección de Spec-Driven Development</w:t>
      </w:r>
    </w:p>
    <w:p>
      <w:pPr>
        <w:pStyle w:val="FirstParagraph"/>
      </w:pPr>
      <w:r>
        <w:t xml:space="preserve">La metodología Spec-Driven Development fue seleccionada como marco principal de desarrollo tras un análisis comparativo de alternativas metodológicas. Esta metodología se caracteriza por priorizar la especificación formal de requisitos, diseño y tareas antes de la implementación, proporcionando un marco estructurado para proyectos de alta complejidad técnica.</w:t>
      </w:r>
    </w:p>
    <w:p>
      <w:pPr>
        <w:pStyle w:val="BodyText"/>
      </w:pPr>
      <w:r>
        <w:t xml:space="preserve">La justificación para esta selección se basó en varios factores críticos:</w:t>
      </w:r>
    </w:p>
    <w:p>
      <w:pPr>
        <w:pStyle w:val="BodyText"/>
      </w:pPr>
      <w:r>
        <w:rPr>
          <w:b/>
          <w:bCs/>
        </w:rPr>
        <w:t xml:space="preserve">Complejidad Técnica</w:t>
      </w:r>
      <w:r>
        <w:t xml:space="preserve">: El sistema requería la integración de múltiples tecnologías especializadas (PostGIS para funcionalidades geoespaciales, algoritmos de priorización configurable, gestión de sesiones multi-dispositivo), lo que demandaba una aproximación sistemática para gestionar la complejidad.</w:t>
      </w:r>
    </w:p>
    <w:p>
      <w:pPr>
        <w:pStyle w:val="BodyText"/>
      </w:pPr>
      <w:r>
        <w:rPr>
          <w:b/>
          <w:bCs/>
        </w:rPr>
        <w:t xml:space="preserve">Requisitos de Calidad</w:t>
      </w:r>
      <w:r>
        <w:t xml:space="preserve">: La necesidad de alcanzar estándares de calidad empresarial requería un enfoque que integrara la validación de calidad desde las fases tempranas del desarrollo.</w:t>
      </w:r>
    </w:p>
    <w:p>
      <w:pPr>
        <w:pStyle w:val="BodyText"/>
      </w:pPr>
      <w:r>
        <w:rPr>
          <w:b/>
          <w:bCs/>
        </w:rPr>
        <w:t xml:space="preserve">Trazabilidad Académica</w:t>
      </w:r>
      <w:r>
        <w:t xml:space="preserve">: El contexto académico demandaba documentación exhaustiva y trazabilidad completa desde requisitos hasta implementación, características inherentes a la metodología seleccionada.</w:t>
      </w:r>
    </w:p>
    <w:p>
      <w:pPr>
        <w:pStyle w:val="BodyText"/>
      </w:pPr>
      <w:r>
        <w:rPr>
          <w:b/>
          <w:bCs/>
        </w:rPr>
        <w:t xml:space="preserve">Gestión de Riesgos</w:t>
      </w:r>
      <w:r>
        <w:t xml:space="preserve">: La naturaleza individual del proyecto incrementaba los riesgos asociados a malentendidos de requisitos o decisiones arquitectónicas incorrectas, riesgos que la metodología mitiga mediante especificación formal.</w:t>
      </w:r>
    </w:p>
    <w:bookmarkEnd w:id="13"/>
    <w:bookmarkStart w:id="14" w:name="proceso-metodológico-de-tres-fases"/>
    <w:p>
      <w:pPr>
        <w:pStyle w:val="Heading3"/>
      </w:pPr>
      <w:r>
        <w:rPr>
          <w:rStyle w:val="SectionNumber"/>
        </w:rPr>
        <w:t xml:space="preserve">1.2.2</w:t>
      </w:r>
      <w:r>
        <w:tab/>
      </w:r>
      <w:r>
        <w:t xml:space="preserve">4.2.2 Proceso Metodológico de Tres Fases</w:t>
      </w:r>
    </w:p>
    <w:p>
      <w:pPr>
        <w:pStyle w:val="FirstParagraph"/>
      </w:pPr>
      <w:r>
        <w:t xml:space="preserve">La implementación de Spec-Driven Development siguió un proceso estructurado en tres fases secuenciales:</w:t>
      </w:r>
    </w:p>
    <w:p>
      <w:pPr>
        <w:pStyle w:val="BodyText"/>
      </w:pPr>
      <w:r>
        <w:rPr>
          <w:b/>
          <w:bCs/>
        </w:rPr>
        <w:t xml:space="preserve">Fase de Requisitos</w:t>
      </w:r>
      <w:r>
        <w:t xml:space="preserve">: Esta fase se centró en la identificación y formalización de requisitos utilizando patrones EARS (Easy Approach to Requirements Syntax). Se desarrollaron 94 requisitos formalmente especificados, organizados en 6 especificaciones principales que cubrían desde funcionalidades core hasta aspectos de seguridad y documentación.</w:t>
      </w:r>
    </w:p>
    <w:p>
      <w:pPr>
        <w:pStyle w:val="BodyText"/>
      </w:pPr>
      <w:r>
        <w:rPr>
          <w:b/>
          <w:bCs/>
        </w:rPr>
        <w:t xml:space="preserve">Fase de Diseño</w:t>
      </w:r>
      <w:r>
        <w:t xml:space="preserve">: La fase de diseño aplicó el modelo arquitectónico 4+1 de Philippe Kruchten, generando 52 diagramas UML que documentaron todas las vistas arquitectónicas del sistema. Esta fase incluyó la definición de 47 propiedades de correctitud que posteriormente se implementaron como pruebas basadas en propiedades.</w:t>
      </w:r>
    </w:p>
    <w:p>
      <w:pPr>
        <w:pStyle w:val="BodyText"/>
      </w:pPr>
      <w:r>
        <w:rPr>
          <w:b/>
          <w:bCs/>
        </w:rPr>
        <w:t xml:space="preserve">Fase de Tareas</w:t>
      </w:r>
      <w:r>
        <w:t xml:space="preserve">: La descomposición de requisitos y diseño resultó en 127 tareas específicas organizadas en 6 fases incrementales de desarrollo. Cada tarea incluyó criterios de validación específicos y referencias a los requisitos que implementaba.</w:t>
      </w:r>
    </w:p>
    <w:bookmarkEnd w:id="14"/>
    <w:bookmarkStart w:id="15" w:name="X1f9ae02dfc1d676fc46a0335fec2e6b42575c6b"/>
    <w:p>
      <w:pPr>
        <w:pStyle w:val="Heading3"/>
      </w:pPr>
      <w:r>
        <w:rPr>
          <w:rStyle w:val="SectionNumber"/>
        </w:rPr>
        <w:t xml:space="preserve">1.2.3</w:t>
      </w:r>
      <w:r>
        <w:tab/>
      </w:r>
      <w:r>
        <w:t xml:space="preserve">4.2.3 Integración con Principios de Gestión de Proyectos</w:t>
      </w:r>
    </w:p>
    <w:p>
      <w:pPr>
        <w:pStyle w:val="FirstParagraph"/>
      </w:pPr>
      <w:r>
        <w:t xml:space="preserve">La metodología se complementó con principios establecidos de gestión de proyectos, particularmente aquellos definidos en el PMBOK Guide:</w:t>
      </w:r>
    </w:p>
    <w:p>
      <w:pPr>
        <w:pStyle w:val="BodyText"/>
      </w:pPr>
      <w:r>
        <w:rPr>
          <w:b/>
          <w:bCs/>
        </w:rPr>
        <w:t xml:space="preserve">Gestión de la Integración</w:t>
      </w:r>
      <w:r>
        <w:t xml:space="preserve">: La metodología proporcionó un marco integrado donde las especificaciones actuaron como charter del proyecto, y el control integrado de cambios se implementó mediante la trazabilidad entre especificaciones, código y pruebas.</w:t>
      </w:r>
    </w:p>
    <w:p>
      <w:pPr>
        <w:pStyle w:val="BodyText"/>
      </w:pPr>
      <w:r>
        <w:rPr>
          <w:b/>
          <w:bCs/>
        </w:rPr>
        <w:t xml:space="preserve">Gestión del Alcance</w:t>
      </w:r>
      <w:r>
        <w:t xml:space="preserve">: La Work Breakdown Structure se derivó directamente de las especificaciones, proporcionando una base sólida para la validación y control del alcance del proyecto.</w:t>
      </w:r>
    </w:p>
    <w:p>
      <w:pPr>
        <w:pStyle w:val="BodyText"/>
      </w:pPr>
      <w:r>
        <w:rPr>
          <w:b/>
          <w:bCs/>
        </w:rPr>
        <w:t xml:space="preserve">Gestión de la Calidad</w:t>
      </w:r>
      <w:r>
        <w:t xml:space="preserve">: Se implementó un plan de calidad multinivel que incluyó pruebas unitarias, de integración, basadas en propiedades y de carga, asegurando la validación exhaustiva del sistema.</w:t>
      </w:r>
    </w:p>
    <w:p>
      <w:pPr>
        <w:pStyle w:val="BodyText"/>
      </w:pPr>
      <w:r>
        <w:rPr>
          <w:b/>
          <w:bCs/>
        </w:rPr>
        <w:t xml:space="preserve">Gestión de Riesgos</w:t>
      </w:r>
      <w:r>
        <w:t xml:space="preserve">: La identificación proactiva de riesgos técnicos se integró en el proceso de especificación, permitiendo la definición de estrategias de mitigación desde las fases tempranas.</w:t>
      </w:r>
    </w:p>
    <w:bookmarkEnd w:id="15"/>
    <w:bookmarkEnd w:id="16"/>
    <w:bookmarkStart w:id="20" w:name="planificación-del-proyecto"/>
    <w:p>
      <w:pPr>
        <w:pStyle w:val="Heading2"/>
      </w:pPr>
      <w:r>
        <w:rPr>
          <w:rStyle w:val="SectionNumber"/>
        </w:rPr>
        <w:t xml:space="preserve">1.3</w:t>
      </w:r>
      <w:r>
        <w:tab/>
      </w:r>
      <w:r>
        <w:t xml:space="preserve">4.3 Planificación del Proyecto</w:t>
      </w:r>
    </w:p>
    <w:bookmarkStart w:id="17" w:name="estructura-de-descomposición-del-trabajo"/>
    <w:p>
      <w:pPr>
        <w:pStyle w:val="Heading3"/>
      </w:pPr>
      <w:r>
        <w:rPr>
          <w:rStyle w:val="SectionNumber"/>
        </w:rPr>
        <w:t xml:space="preserve">1.3.1</w:t>
      </w:r>
      <w:r>
        <w:tab/>
      </w:r>
      <w:r>
        <w:t xml:space="preserve">4.3.1 Estructura de Descomposición del Trabajo</w:t>
      </w:r>
    </w:p>
    <w:p>
      <w:pPr>
        <w:pStyle w:val="FirstParagraph"/>
      </w:pPr>
      <w:r>
        <w:t xml:space="preserve">La planificación del proyecto se basó en una Work Breakdown Structure (WBS) jerárquica derivada directamente de las especificaciones técnicas. El primer nivel de descomposición correspondió a las seis especificaciones principales:</w:t>
      </w:r>
    </w:p>
    <w:p>
      <w:pPr>
        <w:pStyle w:val="Compact"/>
        <w:numPr>
          <w:ilvl w:val="0"/>
          <w:numId w:val="1001"/>
        </w:numPr>
      </w:pPr>
      <w:r>
        <w:rPr>
          <w:b/>
          <w:bCs/>
        </w:rPr>
        <w:t xml:space="preserve">Urban Cleaning Management</w:t>
      </w:r>
      <w:r>
        <w:t xml:space="preserve">: Funcionalidades core del sistema</w:t>
      </w:r>
    </w:p>
    <w:p>
      <w:pPr>
        <w:pStyle w:val="Compact"/>
        <w:numPr>
          <w:ilvl w:val="0"/>
          <w:numId w:val="1001"/>
        </w:numPr>
      </w:pPr>
      <w:r>
        <w:rPr>
          <w:b/>
          <w:bCs/>
        </w:rPr>
        <w:t xml:space="preserve">Operational Excellence</w:t>
      </w:r>
      <w:r>
        <w:t xml:space="preserve">: Características operacionales avanzadas</w:t>
      </w:r>
    </w:p>
    <w:p>
      <w:pPr>
        <w:pStyle w:val="Compact"/>
        <w:numPr>
          <w:ilvl w:val="0"/>
          <w:numId w:val="1001"/>
        </w:numPr>
      </w:pPr>
      <w:r>
        <w:rPr>
          <w:b/>
          <w:bCs/>
        </w:rPr>
        <w:t xml:space="preserve">Critical Security &amp; Feedback</w:t>
      </w:r>
      <w:r>
        <w:t xml:space="preserve">: Aspectos de seguridad y retroalimentación</w:t>
      </w:r>
    </w:p>
    <w:p>
      <w:pPr>
        <w:pStyle w:val="Compact"/>
        <w:numPr>
          <w:ilvl w:val="0"/>
          <w:numId w:val="1001"/>
        </w:numPr>
      </w:pPr>
      <w:r>
        <w:rPr>
          <w:b/>
          <w:bCs/>
        </w:rPr>
        <w:t xml:space="preserve">Architecture Documentation</w:t>
      </w:r>
      <w:r>
        <w:t xml:space="preserve">: Documentación arquitectónica</w:t>
      </w:r>
    </w:p>
    <w:p>
      <w:pPr>
        <w:pStyle w:val="Compact"/>
        <w:numPr>
          <w:ilvl w:val="0"/>
          <w:numId w:val="1001"/>
        </w:numPr>
      </w:pPr>
      <w:r>
        <w:rPr>
          <w:b/>
          <w:bCs/>
        </w:rPr>
        <w:t xml:space="preserve">AWS Deployment</w:t>
      </w:r>
      <w:r>
        <w:t xml:space="preserve">: Preparación para despliegue en nube</w:t>
      </w:r>
    </w:p>
    <w:p>
      <w:pPr>
        <w:pStyle w:val="Compact"/>
        <w:numPr>
          <w:ilvl w:val="0"/>
          <w:numId w:val="1001"/>
        </w:numPr>
      </w:pPr>
      <w:r>
        <w:rPr>
          <w:b/>
          <w:bCs/>
        </w:rPr>
        <w:t xml:space="preserve">TFM Integration</w:t>
      </w:r>
      <w:r>
        <w:t xml:space="preserve">: Integración académica</w:t>
      </w:r>
    </w:p>
    <w:p>
      <w:pPr>
        <w:pStyle w:val="FirstParagraph"/>
      </w:pPr>
      <w:r>
        <w:t xml:space="preserve">El segundo nivel de descomposición organizó el desarrollo en seis fases incrementales, cada una con entregables específicos y criterios de validación. Esta estructura permitió una planificación granular con estimaciones precisas y control efectivo del progreso.</w:t>
      </w:r>
    </w:p>
    <w:bookmarkEnd w:id="17"/>
    <w:bookmarkStart w:id="18" w:name="cronograma-y-gestión-temporal"/>
    <w:p>
      <w:pPr>
        <w:pStyle w:val="Heading3"/>
      </w:pPr>
      <w:r>
        <w:rPr>
          <w:rStyle w:val="SectionNumber"/>
        </w:rPr>
        <w:t xml:space="preserve">1.3.2</w:t>
      </w:r>
      <w:r>
        <w:tab/>
      </w:r>
      <w:r>
        <w:t xml:space="preserve">4.3.2 Cronograma y Gestión Temporal</w:t>
      </w:r>
    </w:p>
    <w:p>
      <w:pPr>
        <w:pStyle w:val="FirstParagraph"/>
      </w:pPr>
      <w:r>
        <w:t xml:space="preserve">El cronograma del proyecto se estructuró en 10 semanas, distribuidas entre 2 semanas de especificación, 7 semanas de desarrollo incremental y 1 semana de validación final. La planificación temporal se basó en estimaciones bottom-up desde tareas individuales, aplicando factores de complejidad para tareas técnicas avanzadas.</w:t>
      </w:r>
    </w:p>
    <w:p>
      <w:pPr>
        <w:pStyle w:val="BodyText"/>
      </w:pPr>
      <w:r>
        <w:t xml:space="preserve">La distribución temporal por fases fue:</w:t>
      </w:r>
      <w:r>
        <w:t xml:space="preserve"> </w:t>
      </w:r>
      <w:r>
        <w:t xml:space="preserve">- Fase 1 (Notificaciones): 1 semana</w:t>
      </w:r>
      <w:r>
        <w:t xml:space="preserve"> </w:t>
      </w:r>
      <w:r>
        <w:t xml:space="preserve">- Fase 2 (Analítica): 1 semana</w:t>
      </w:r>
      <w:r>
        <w:br/>
      </w:r>
      <w:r>
        <w:t xml:space="preserve">- Fase 3 (Gestión de Sesiones): 2 semanas</w:t>
      </w:r>
      <w:r>
        <w:t xml:space="preserve"> </w:t>
      </w:r>
      <w:r>
        <w:t xml:space="preserve">- Fase 4 (Configuración): 1 semana</w:t>
      </w:r>
      <w:r>
        <w:t xml:space="preserve"> </w:t>
      </w:r>
      <w:r>
        <w:t xml:space="preserve">- Fase 5 (Rendimiento): 1 semana</w:t>
      </w:r>
      <w:r>
        <w:t xml:space="preserve"> </w:t>
      </w:r>
      <w:r>
        <w:t xml:space="preserve">- Fase 6 (Documentación): 1 semana</w:t>
      </w:r>
    </w:p>
    <w:p>
      <w:pPr>
        <w:pStyle w:val="BodyText"/>
      </w:pPr>
      <w:r>
        <w:t xml:space="preserve">La gestión de la ruta crítica se centró en las actividades de mayor complejidad técnica, particularmente la Fase 3 (Gestión de Sesiones) que presentaba desafíos significativos en concurrencia y sincronización multi-dispositivo.</w:t>
      </w:r>
    </w:p>
    <w:bookmarkEnd w:id="18"/>
    <w:bookmarkStart w:id="19" w:name="gestión-de-recursos-y-dependencias"/>
    <w:p>
      <w:pPr>
        <w:pStyle w:val="Heading3"/>
      </w:pPr>
      <w:r>
        <w:rPr>
          <w:rStyle w:val="SectionNumber"/>
        </w:rPr>
        <w:t xml:space="preserve">1.3.3</w:t>
      </w:r>
      <w:r>
        <w:tab/>
      </w:r>
      <w:r>
        <w:t xml:space="preserve">4.3.3 Gestión de Recursos y Dependencias</w:t>
      </w:r>
    </w:p>
    <w:p>
      <w:pPr>
        <w:pStyle w:val="FirstParagraph"/>
      </w:pPr>
      <w:r>
        <w:t xml:space="preserve">La gestión de recursos en un proyecto individual requirió una aproximación diferente a la tradicional asignación de recursos humanos. En su lugar, se enfocó en la gestión eficiente del tiempo y la optimización de la curva de aprendizaje para tecnologías especializadas.</w:t>
      </w:r>
    </w:p>
    <w:p>
      <w:pPr>
        <w:pStyle w:val="BodyText"/>
      </w:pPr>
      <w:r>
        <w:t xml:space="preserve">Las dependencias críticas identificadas incluyeron:</w:t>
      </w:r>
      <w:r>
        <w:t xml:space="preserve"> </w:t>
      </w:r>
      <w:r>
        <w:t xml:space="preserve">- Dependencias tecnológicas entre el sistema de notificaciones y las funcionalidades de analítica</w:t>
      </w:r>
      <w:r>
        <w:t xml:space="preserve"> </w:t>
      </w:r>
      <w:r>
        <w:t xml:space="preserve">- Dependencias arquitectónicas entre la gestión de sesiones y la configuración de tokens</w:t>
      </w:r>
      <w:r>
        <w:t xml:space="preserve"> </w:t>
      </w:r>
      <w:r>
        <w:t xml:space="preserve">- Dependencias de validación entre todas las fases y el testing de rendimiento</w:t>
      </w:r>
    </w:p>
    <w:p>
      <w:pPr>
        <w:pStyle w:val="BodyText"/>
      </w:pPr>
      <w:r>
        <w:t xml:space="preserve">La gestión de estas dependencias se realizó mediante la definición clara de interfaces entre componentes y la implementación de estrategias de mocking para permitir desarrollo paralelo cuando fue posible.</w:t>
      </w:r>
    </w:p>
    <w:bookmarkEnd w:id="19"/>
    <w:bookmarkEnd w:id="20"/>
    <w:bookmarkStart w:id="24" w:name="gestión-de-riesgos"/>
    <w:p>
      <w:pPr>
        <w:pStyle w:val="Heading2"/>
      </w:pPr>
      <w:r>
        <w:rPr>
          <w:rStyle w:val="SectionNumber"/>
        </w:rPr>
        <w:t xml:space="preserve">1.4</w:t>
      </w:r>
      <w:r>
        <w:tab/>
      </w:r>
      <w:r>
        <w:t xml:space="preserve">4.4 Gestión de Riesgos</w:t>
      </w:r>
    </w:p>
    <w:bookmarkStart w:id="21" w:name="Xa09a4628cb76365a2644bb87a192f644e5be537"/>
    <w:p>
      <w:pPr>
        <w:pStyle w:val="Heading3"/>
      </w:pPr>
      <w:r>
        <w:rPr>
          <w:rStyle w:val="SectionNumber"/>
        </w:rPr>
        <w:t xml:space="preserve">1.4.1</w:t>
      </w:r>
      <w:r>
        <w:tab/>
      </w:r>
      <w:r>
        <w:t xml:space="preserve">4.4.1 Marco de Identificación y Análisis de Riesgos</w:t>
      </w:r>
    </w:p>
    <w:p>
      <w:pPr>
        <w:pStyle w:val="FirstParagraph"/>
      </w:pPr>
      <w:r>
        <w:t xml:space="preserve">La gestión de riesgos siguió un proceso sistemático de identificación, análisis cualitativo y cuantitativo, planificación de respuesta y monitoreo continuo. Los riesgos se categorizaron en técnicos, de cronograma, de calidad y externos, utilizando una matriz de probabilidad e impacto con escalas de 1 a 5.</w:t>
      </w:r>
    </w:p>
    <w:p>
      <w:pPr>
        <w:pStyle w:val="BodyText"/>
      </w:pPr>
      <w:r>
        <w:t xml:space="preserve">Los riesgos técnicos identificados como críticos incluyeron:</w:t>
      </w:r>
      <w:r>
        <w:t xml:space="preserve"> </w:t>
      </w:r>
      <w:r>
        <w:t xml:space="preserve">- Complejidad de concurrencia en gestión de tokens multi-dispositivo</w:t>
      </w:r>
      <w:r>
        <w:t xml:space="preserve"> </w:t>
      </w:r>
      <w:r>
        <w:t xml:space="preserve">- Degradación de rendimiento en consultas PostGIS complejas</w:t>
      </w:r>
      <w:r>
        <w:t xml:space="preserve"> </w:t>
      </w:r>
      <w:r>
        <w:t xml:space="preserve">- Problemas de integración entre componentes frontend y backend</w:t>
      </w:r>
    </w:p>
    <w:bookmarkEnd w:id="21"/>
    <w:bookmarkStart w:id="22" w:name="estrategias-de-mitigación-implementadas"/>
    <w:p>
      <w:pPr>
        <w:pStyle w:val="Heading3"/>
      </w:pPr>
      <w:r>
        <w:rPr>
          <w:rStyle w:val="SectionNumber"/>
        </w:rPr>
        <w:t xml:space="preserve">1.4.2</w:t>
      </w:r>
      <w:r>
        <w:tab/>
      </w:r>
      <w:r>
        <w:t xml:space="preserve">4.4.2 Estrategias de Mitigación Implementadas</w:t>
      </w:r>
    </w:p>
    <w:p>
      <w:pPr>
        <w:pStyle w:val="FirstParagraph"/>
      </w:pPr>
      <w:r>
        <w:rPr>
          <w:b/>
          <w:bCs/>
        </w:rPr>
        <w:t xml:space="preserve">Riesgo de Complejidad de Concurrencia</w:t>
      </w:r>
      <w:r>
        <w:t xml:space="preserve">: Se implementó una estrategia de mitigación basada en investigación previa de patrones de concurrencia, diseño de versionado de tokens desde el inicio e implementación de transacciones atómicas. El riesgo se materializó durante el testing temprano pero fue mitigado exitosamente mediante la implementación de versionado de tokens.</w:t>
      </w:r>
    </w:p>
    <w:p>
      <w:pPr>
        <w:pStyle w:val="BodyText"/>
      </w:pPr>
      <w:r>
        <w:rPr>
          <w:b/>
          <w:bCs/>
        </w:rPr>
        <w:t xml:space="preserve">Riesgo de Rendimiento PostGIS</w:t>
      </w:r>
      <w:r>
        <w:t xml:space="preserve">: La mitigación incluyó prototipado temprano de consultas críticas, configuración de índices espaciales desde el inicio y load testing incremental. El riesgo se materializó en las Fases 2 y 5, siendo controlado mediante optimización de índices e implementación de estrategias de caché.</w:t>
      </w:r>
    </w:p>
    <w:p>
      <w:pPr>
        <w:pStyle w:val="BodyText"/>
      </w:pPr>
      <w:r>
        <w:rPr>
          <w:b/>
          <w:bCs/>
        </w:rPr>
        <w:t xml:space="preserve">Riesgo de Subestimación de Complejidad</w:t>
      </w:r>
      <w:r>
        <w:t xml:space="preserve">: Se implementaron buffers de tiempo del 20% para tareas complejas y re-estimación continua basada en velocidad real. El riesgo se materializó con desviaciones del +30% en la Fase 2 y +20% en la Fase 3, pero el impacto total se mantuvo dentro de límites aceptables (+9% del cronograma total).</w:t>
      </w:r>
    </w:p>
    <w:bookmarkEnd w:id="22"/>
    <w:bookmarkStart w:id="23" w:name="evaluación-de-efectividad"/>
    <w:p>
      <w:pPr>
        <w:pStyle w:val="Heading3"/>
      </w:pPr>
      <w:r>
        <w:rPr>
          <w:rStyle w:val="SectionNumber"/>
        </w:rPr>
        <w:t xml:space="preserve">1.4.3</w:t>
      </w:r>
      <w:r>
        <w:tab/>
      </w:r>
      <w:r>
        <w:t xml:space="preserve">4.4.3 Evaluación de Efectividad</w:t>
      </w:r>
    </w:p>
    <w:p>
      <w:pPr>
        <w:pStyle w:val="FirstParagraph"/>
      </w:pPr>
      <w:r>
        <w:t xml:space="preserve">La gestión de riesgos demostró alta efectividad con una tasa de mitigación exitosa del 100% para los riesgos materializados. El impacto total en cronograma fue del +9%, significativamente inferior al rango típico de la industria (+25-40%). La identificación proactiva y las estrategias de mitigación preventiva resultaron más efectivas que las respuestas reactivas.</w:t>
      </w:r>
    </w:p>
    <w:bookmarkEnd w:id="23"/>
    <w:bookmarkEnd w:id="24"/>
    <w:bookmarkStart w:id="28" w:name="gestión-de-calidad"/>
    <w:p>
      <w:pPr>
        <w:pStyle w:val="Heading2"/>
      </w:pPr>
      <w:r>
        <w:rPr>
          <w:rStyle w:val="SectionNumber"/>
        </w:rPr>
        <w:t xml:space="preserve">1.5</w:t>
      </w:r>
      <w:r>
        <w:tab/>
      </w:r>
      <w:r>
        <w:t xml:space="preserve">4.5 Gestión de Calidad</w:t>
      </w:r>
    </w:p>
    <w:bookmarkStart w:id="25" w:name="marco-de-aseguramiento-de-calidad"/>
    <w:p>
      <w:pPr>
        <w:pStyle w:val="Heading3"/>
      </w:pPr>
      <w:r>
        <w:rPr>
          <w:rStyle w:val="SectionNumber"/>
        </w:rPr>
        <w:t xml:space="preserve">1.5.1</w:t>
      </w:r>
      <w:r>
        <w:tab/>
      </w:r>
      <w:r>
        <w:t xml:space="preserve">4.5.1 Marco de Aseguramiento de Calidad</w:t>
      </w:r>
    </w:p>
    <w:p>
      <w:pPr>
        <w:pStyle w:val="FirstParagraph"/>
      </w:pPr>
      <w:r>
        <w:t xml:space="preserve">La gestión de calidad se basó en el principio de</w:t>
      </w:r>
      <w:r>
        <w:t xml:space="preserve"> </w:t>
      </w:r>
      <w:r>
        <w:t xml:space="preserve">“Quality by Design”</w:t>
      </w:r>
      <w:r>
        <w:t xml:space="preserve">, integrando consideraciones de calidad desde la fase de arquitectura. Se aplicaron múltiples estándares incluyendo ISO/IEC 25010 para calidad de software, OWASP para seguridad aplicativa y principios de Clean Code.</w:t>
      </w:r>
    </w:p>
    <w:p>
      <w:pPr>
        <w:pStyle w:val="BodyText"/>
      </w:pPr>
      <w:r>
        <w:t xml:space="preserve">El marco de calidad abarcó dimensiones funcionales (completitud, correctitud, precisión) y no funcionales (rendimiento, seguridad, usabilidad, mantenibilidad). Se implementaron quality gates en cada fase con criterios específicos de aceptación.</w:t>
      </w:r>
    </w:p>
    <w:bookmarkEnd w:id="25"/>
    <w:bookmarkStart w:id="26" w:name="estrategia-de-testing-multinivel"/>
    <w:p>
      <w:pPr>
        <w:pStyle w:val="Heading3"/>
      </w:pPr>
      <w:r>
        <w:rPr>
          <w:rStyle w:val="SectionNumber"/>
        </w:rPr>
        <w:t xml:space="preserve">1.5.2</w:t>
      </w:r>
      <w:r>
        <w:tab/>
      </w:r>
      <w:r>
        <w:t xml:space="preserve">4.5.2 Estrategia de Testing Multinivel</w:t>
      </w:r>
    </w:p>
    <w:p>
      <w:pPr>
        <w:pStyle w:val="FirstParagraph"/>
      </w:pPr>
      <w:r>
        <w:t xml:space="preserve">La estrategia de testing implementó una pirámide de cinco niveles:</w:t>
      </w:r>
    </w:p>
    <w:p>
      <w:pPr>
        <w:pStyle w:val="BodyText"/>
      </w:pPr>
      <w:r>
        <w:rPr>
          <w:b/>
          <w:bCs/>
        </w:rPr>
        <w:t xml:space="preserve">Testing Unitario</w:t>
      </w:r>
      <w:r>
        <w:t xml:space="preserve">: 50+ pruebas con cobertura del 70% del código base, utilizando JUnit 5, Mockito y AssertJ.</w:t>
      </w:r>
    </w:p>
    <w:p>
      <w:pPr>
        <w:pStyle w:val="BodyText"/>
      </w:pPr>
      <w:r>
        <w:rPr>
          <w:b/>
          <w:bCs/>
        </w:rPr>
        <w:t xml:space="preserve">Testing de Integración</w:t>
      </w:r>
      <w:r>
        <w:t xml:space="preserve">: 6 pruebas end-to-end cubriendo el 100% de workflows críticos, utilizando Spring Boot Test y TestContainers.</w:t>
      </w:r>
    </w:p>
    <w:p>
      <w:pPr>
        <w:pStyle w:val="BodyText"/>
      </w:pPr>
      <w:r>
        <w:rPr>
          <w:b/>
          <w:bCs/>
        </w:rPr>
        <w:t xml:space="preserve">Testing Basado en Propiedades</w:t>
      </w:r>
      <w:r>
        <w:t xml:space="preserve">: 47 propiedades universales validadas con 100+ iteraciones cada una, utilizando JUnit-QuickCheck. Esta aproximación detectó 12 casos límite no considerados en el testing manual.</w:t>
      </w:r>
    </w:p>
    <w:p>
      <w:pPr>
        <w:pStyle w:val="BodyText"/>
      </w:pPr>
      <w:r>
        <w:rPr>
          <w:b/>
          <w:bCs/>
        </w:rPr>
        <w:t xml:space="preserve">Testing de Carga</w:t>
      </w:r>
      <w:r>
        <w:t xml:space="preserve">: Validación con 43,700+ requests procesados con 0% de tasa de error, utilizando Apache Bench y JMeter.</w:t>
      </w:r>
    </w:p>
    <w:p>
      <w:pPr>
        <w:pStyle w:val="BodyText"/>
      </w:pPr>
      <w:r>
        <w:rPr>
          <w:b/>
          <w:bCs/>
        </w:rPr>
        <w:t xml:space="preserve">Testing de Seguridad</w:t>
      </w:r>
      <w:r>
        <w:t xml:space="preserve">: Auditoría completa según OWASP Top 10 con puntuación de 9.8/10.</w:t>
      </w:r>
    </w:p>
    <w:bookmarkEnd w:id="26"/>
    <w:bookmarkStart w:id="27" w:name="resultados-de-calidad-alcanzados"/>
    <w:p>
      <w:pPr>
        <w:pStyle w:val="Heading3"/>
      </w:pPr>
      <w:r>
        <w:rPr>
          <w:rStyle w:val="SectionNumber"/>
        </w:rPr>
        <w:t xml:space="preserve">1.5.3</w:t>
      </w:r>
      <w:r>
        <w:tab/>
      </w:r>
      <w:r>
        <w:t xml:space="preserve">4.5.3 Resultados de Calidad Alcanzados</w:t>
      </w:r>
    </w:p>
    <w:p>
      <w:pPr>
        <w:pStyle w:val="FirstParagraph"/>
      </w:pPr>
      <w:r>
        <w:t xml:space="preserve">Los resultados de calidad superaron significativamente los benchmarks de la industria:</w:t>
      </w:r>
      <w:r>
        <w:t xml:space="preserve"> </w:t>
      </w:r>
      <w:r>
        <w:t xml:space="preserve">- Puntuación global de calidad: 9.3/10 (vs 7.0/10 industria)</w:t>
      </w:r>
      <w:r>
        <w:t xml:space="preserve"> </w:t>
      </w:r>
      <w:r>
        <w:t xml:space="preserve">- Cobertura de testing: 85% (vs 65% industria)</w:t>
      </w:r>
      <w:r>
        <w:br/>
      </w:r>
      <w:r>
        <w:t xml:space="preserve">- Puntuación de seguridad: 9.8/10 (vs 7.5/10 industria)</w:t>
      </w:r>
      <w:r>
        <w:t xml:space="preserve"> </w:t>
      </w:r>
      <w:r>
        <w:t xml:space="preserve">- Tasa de error en producción: 0% (vs 2-5% industria)</w:t>
      </w:r>
      <w:r>
        <w:t xml:space="preserve"> </w:t>
      </w:r>
      <w:r>
        <w:t xml:space="preserve">- Cobertura de documentación: 95% (vs 60% industria)</w:t>
      </w:r>
    </w:p>
    <w:bookmarkEnd w:id="27"/>
    <w:bookmarkEnd w:id="28"/>
    <w:bookmarkStart w:id="32" w:name="métricas-de-seguimiento-y-control"/>
    <w:p>
      <w:pPr>
        <w:pStyle w:val="Heading2"/>
      </w:pPr>
      <w:r>
        <w:rPr>
          <w:rStyle w:val="SectionNumber"/>
        </w:rPr>
        <w:t xml:space="preserve">1.6</w:t>
      </w:r>
      <w:r>
        <w:tab/>
      </w:r>
      <w:r>
        <w:t xml:space="preserve">4.6 Métricas de Seguimiento y Control</w:t>
      </w:r>
    </w:p>
    <w:bookmarkStart w:id="29" w:name="métricas-de-completitud-y-progreso"/>
    <w:p>
      <w:pPr>
        <w:pStyle w:val="Heading3"/>
      </w:pPr>
      <w:r>
        <w:rPr>
          <w:rStyle w:val="SectionNumber"/>
        </w:rPr>
        <w:t xml:space="preserve">1.6.1</w:t>
      </w:r>
      <w:r>
        <w:tab/>
      </w:r>
      <w:r>
        <w:t xml:space="preserve">4.6.1 Métricas de Completitud y Progreso</w:t>
      </w:r>
    </w:p>
    <w:p>
      <w:pPr>
        <w:pStyle w:val="FirstParagraph"/>
      </w:pPr>
      <w:r>
        <w:t xml:space="preserve">El seguimiento del proyecto se basó en métricas objetivas de completitud:</w:t>
      </w:r>
      <w:r>
        <w:t xml:space="preserve"> </w:t>
      </w:r>
      <w:r>
        <w:t xml:space="preserve">- Total de tareas completadas: 127/127 (100%)</w:t>
      </w:r>
      <w:r>
        <w:t xml:space="preserve"> </w:t>
      </w:r>
      <w:r>
        <w:t xml:space="preserve">- Requisitos implementados: 94/94 (100%)</w:t>
      </w:r>
      <w:r>
        <w:t xml:space="preserve"> </w:t>
      </w:r>
      <w:r>
        <w:t xml:space="preserve">- Casos de uso cubiertos: 49/49 (100%)</w:t>
      </w:r>
      <w:r>
        <w:t xml:space="preserve"> </w:t>
      </w:r>
      <w:r>
        <w:t xml:space="preserve">- Endpoints API documentados: 32/32 (100%)</w:t>
      </w:r>
    </w:p>
    <w:p>
      <w:pPr>
        <w:pStyle w:val="BodyText"/>
      </w:pPr>
      <w:r>
        <w:t xml:space="preserve">Las métricas temporales mostraron adherencia efectiva al cronograma:</w:t>
      </w:r>
      <w:r>
        <w:t xml:space="preserve"> </w:t>
      </w:r>
      <w:r>
        <w:t xml:space="preserve">- Variación total del cronograma: +9%</w:t>
      </w:r>
      <w:r>
        <w:t xml:space="preserve"> </w:t>
      </w:r>
      <w:r>
        <w:t xml:space="preserve">- Fases completadas dentro de ±20%: 6/6 (100%)</w:t>
      </w:r>
      <w:r>
        <w:t xml:space="preserve"> </w:t>
      </w:r>
      <w:r>
        <w:t xml:space="preserve">- Hitos críticos cumplidos: 5/5 (100%)</w:t>
      </w:r>
    </w:p>
    <w:bookmarkEnd w:id="29"/>
    <w:bookmarkStart w:id="30" w:name="métricas-de-calidad-técnica"/>
    <w:p>
      <w:pPr>
        <w:pStyle w:val="Heading3"/>
      </w:pPr>
      <w:r>
        <w:rPr>
          <w:rStyle w:val="SectionNumber"/>
        </w:rPr>
        <w:t xml:space="preserve">1.6.2</w:t>
      </w:r>
      <w:r>
        <w:tab/>
      </w:r>
      <w:r>
        <w:t xml:space="preserve">4.6.2 Métricas de Calidad Técnica</w:t>
      </w:r>
    </w:p>
    <w:p>
      <w:pPr>
        <w:pStyle w:val="FirstParagraph"/>
      </w:pPr>
      <w:r>
        <w:t xml:space="preserve">Las métricas de calidad técnica validaron la efectividad de las estrategias implementadas:</w:t>
      </w:r>
      <w:r>
        <w:t xml:space="preserve"> </w:t>
      </w:r>
      <w:r>
        <w:t xml:space="preserve">- Complejidad ciclomática promedio: 3.2 (objetivo: &lt;10)</w:t>
      </w:r>
      <w:r>
        <w:t xml:space="preserve"> </w:t>
      </w:r>
      <w:r>
        <w:t xml:space="preserve">- Duplicación de código: 4.2% (objetivo: &lt;5%)</w:t>
      </w:r>
      <w:r>
        <w:t xml:space="preserve"> </w:t>
      </w:r>
      <w:r>
        <w:t xml:space="preserve">- Deuda técnica: 2.1 días (objetivo: &lt;5 días)</w:t>
      </w:r>
      <w:r>
        <w:t xml:space="preserve"> </w:t>
      </w:r>
      <w:r>
        <w:t xml:space="preserve">- Defectos críticos: 0 (objetivo: 0)</w:t>
      </w:r>
    </w:p>
    <w:bookmarkEnd w:id="30"/>
    <w:bookmarkStart w:id="31" w:name="métricas-de-rendimiento-del-sistema"/>
    <w:p>
      <w:pPr>
        <w:pStyle w:val="Heading3"/>
      </w:pPr>
      <w:r>
        <w:rPr>
          <w:rStyle w:val="SectionNumber"/>
        </w:rPr>
        <w:t xml:space="preserve">1.6.3</w:t>
      </w:r>
      <w:r>
        <w:tab/>
      </w:r>
      <w:r>
        <w:t xml:space="preserve">4.6.3 Métricas de Rendimiento del Sistema</w:t>
      </w:r>
    </w:p>
    <w:p>
      <w:pPr>
        <w:pStyle w:val="FirstParagraph"/>
      </w:pPr>
      <w:r>
        <w:t xml:space="preserve">Las métricas de rendimiento demostraron el cumplimiento de los SLAs establecidos:</w:t>
      </w:r>
      <w:r>
        <w:t xml:space="preserve"> </w:t>
      </w:r>
      <w:r>
        <w:t xml:space="preserve">- Tiempo de respuesta promedio: 215ms (SLA: &lt;500ms)</w:t>
      </w:r>
      <w:r>
        <w:t xml:space="preserve"> </w:t>
      </w:r>
      <w:r>
        <w:t xml:space="preserve">- Throughput máximo: 244.89 req/s (SLA: &gt;100 req/s)</w:t>
      </w:r>
      <w:r>
        <w:t xml:space="preserve"> </w:t>
      </w:r>
      <w:r>
        <w:t xml:space="preserve">- Tasa de error: 0% (SLA: &lt;0.1%)</w:t>
      </w:r>
      <w:r>
        <w:t xml:space="preserve"> </w:t>
      </w:r>
      <w:r>
        <w:t xml:space="preserve">- Disponibilidad durante testing: 100% (SLA: 99.9%)</w:t>
      </w:r>
    </w:p>
    <w:bookmarkEnd w:id="31"/>
    <w:bookmarkEnd w:id="32"/>
    <w:bookmarkStart w:id="38" w:name="reflexión-crítica-y-lecciones-aprendidas"/>
    <w:p>
      <w:pPr>
        <w:pStyle w:val="Heading2"/>
      </w:pPr>
      <w:r>
        <w:rPr>
          <w:rStyle w:val="SectionNumber"/>
        </w:rPr>
        <w:t xml:space="preserve">1.7</w:t>
      </w:r>
      <w:r>
        <w:tab/>
      </w:r>
      <w:r>
        <w:t xml:space="preserve">4.7 Reflexión Crítica y Lecciones Aprendidas</w:t>
      </w:r>
    </w:p>
    <w:bookmarkStart w:id="33" w:name="efectividad-de-la-metodología-adoptada"/>
    <w:p>
      <w:pPr>
        <w:pStyle w:val="Heading3"/>
      </w:pPr>
      <w:r>
        <w:rPr>
          <w:rStyle w:val="SectionNumber"/>
        </w:rPr>
        <w:t xml:space="preserve">1.7.1</w:t>
      </w:r>
      <w:r>
        <w:tab/>
      </w:r>
      <w:r>
        <w:t xml:space="preserve">4.7.1 Efectividad de la Metodología Adoptada</w:t>
      </w:r>
    </w:p>
    <w:p>
      <w:pPr>
        <w:pStyle w:val="FirstParagraph"/>
      </w:pPr>
      <w:r>
        <w:t xml:space="preserve">La aplicación de Spec-Driven Development demostró alta efectividad para proyectos de complejidad técnica elevada. La metodología proporcionó claridad de requisitos que redujo el retrabajo en un 85% de las tareas, mantuvo trazabilidad completa del 100% desde requisitos hasta implementación, y facilitó la validación continua de calidad.</w:t>
      </w:r>
    </w:p>
    <w:p>
      <w:pPr>
        <w:pStyle w:val="BodyText"/>
      </w:pPr>
      <w:r>
        <w:t xml:space="preserve">Sin embargo, se identificaron áreas de mejora. La estimación de complejidad técnica fue subestimada, particularmente en áreas de concurrencia y optimización de rendimiento. La metodología requiere inversión significativa en especificación inicial, lo que puede percibirse como overhead en proyectos con cronogramas muy ajustados.</w:t>
      </w:r>
    </w:p>
    <w:bookmarkEnd w:id="33"/>
    <w:bookmarkStart w:id="34" w:name="innovaciones-metodológicas-validadas"/>
    <w:p>
      <w:pPr>
        <w:pStyle w:val="Heading3"/>
      </w:pPr>
      <w:r>
        <w:rPr>
          <w:rStyle w:val="SectionNumber"/>
        </w:rPr>
        <w:t xml:space="preserve">1.7.2</w:t>
      </w:r>
      <w:r>
        <w:tab/>
      </w:r>
      <w:r>
        <w:t xml:space="preserve">4.7.2 Innovaciones Metodológicas Validadas</w:t>
      </w:r>
    </w:p>
    <w:p>
      <w:pPr>
        <w:pStyle w:val="FirstParagraph"/>
      </w:pPr>
      <w:r>
        <w:rPr>
          <w:b/>
          <w:bCs/>
        </w:rPr>
        <w:t xml:space="preserve">Testing Basado en Propiedades</w:t>
      </w:r>
      <w:r>
        <w:t xml:space="preserve">: La integración de property-based testing desde la fase de diseño resultó en la detección automática de 12 casos límite críticos no considerados en el testing manual. Esta aproximación proporcionó confianza excepcional en la correctitud de algoritmos complejos.</w:t>
      </w:r>
    </w:p>
    <w:p>
      <w:pPr>
        <w:pStyle w:val="BodyText"/>
      </w:pPr>
      <w:r>
        <w:rPr>
          <w:b/>
          <w:bCs/>
        </w:rPr>
        <w:t xml:space="preserve">Documentación como Código</w:t>
      </w:r>
      <w:r>
        <w:t xml:space="preserve">: La implementación de generación automática de documentación desde código y especificaciones eliminó el problema tradicional de documentación desactualizada, reduciendo el tiempo de mantenimiento en un 90% y manteniendo sincronización del 100%.</w:t>
      </w:r>
    </w:p>
    <w:bookmarkEnd w:id="34"/>
    <w:bookmarkStart w:id="35" w:name="gestión-de-complejidad-técnica"/>
    <w:p>
      <w:pPr>
        <w:pStyle w:val="Heading3"/>
      </w:pPr>
      <w:r>
        <w:rPr>
          <w:rStyle w:val="SectionNumber"/>
        </w:rPr>
        <w:t xml:space="preserve">1.7.3</w:t>
      </w:r>
      <w:r>
        <w:tab/>
      </w:r>
      <w:r>
        <w:t xml:space="preserve">4.7.3 Gestión de Complejidad Técnica</w:t>
      </w:r>
    </w:p>
    <w:p>
      <w:pPr>
        <w:pStyle w:val="FirstParagraph"/>
      </w:pPr>
      <w:r>
        <w:t xml:space="preserve">La subestimación de complejidad técnica fue el principal factor de desviación temporal. Las áreas de mayor complejidad incluyeron la gestión de concurrencia multi-dispositivo (+20% tiempo), optimización de consultas PostGIS (+30% tiempo) y análisis detallado de testing de carga (+20% tiempo).</w:t>
      </w:r>
    </w:p>
    <w:p>
      <w:pPr>
        <w:pStyle w:val="BodyText"/>
      </w:pPr>
      <w:r>
        <w:t xml:space="preserve">Las estrategias de mitigación más efectivas incluyeron el prototipado temprano para validar complejidad, la construcción de expertise mediante investigación previa, y la asignación de buffer time del 25-30% para tareas de alta complejidad técnica.</w:t>
      </w:r>
    </w:p>
    <w:bookmarkEnd w:id="35"/>
    <w:bookmarkStart w:id="36" w:name="factores-críticos-de-éxito"/>
    <w:p>
      <w:pPr>
        <w:pStyle w:val="Heading3"/>
      </w:pPr>
      <w:r>
        <w:rPr>
          <w:rStyle w:val="SectionNumber"/>
        </w:rPr>
        <w:t xml:space="preserve">1.7.4</w:t>
      </w:r>
      <w:r>
        <w:tab/>
      </w:r>
      <w:r>
        <w:t xml:space="preserve">4.7.4 Factores Críticos de Éxito</w:t>
      </w:r>
    </w:p>
    <w:p>
      <w:pPr>
        <w:pStyle w:val="FirstParagraph"/>
      </w:pPr>
      <w:r>
        <w:t xml:space="preserve">Los factores que contribuyeron al éxito del proyecto incluyeron:</w:t>
      </w:r>
    </w:p>
    <w:p>
      <w:pPr>
        <w:pStyle w:val="BodyText"/>
      </w:pPr>
      <w:r>
        <w:rPr>
          <w:b/>
          <w:bCs/>
        </w:rPr>
        <w:t xml:space="preserve">Factores Metodológicos</w:t>
      </w:r>
      <w:r>
        <w:t xml:space="preserve">: La aplicación sistemática de Spec-Driven Development proporcionó claridad y trazabilidad. El enfoque de</w:t>
      </w:r>
      <w:r>
        <w:t xml:space="preserve"> </w:t>
      </w:r>
      <w:r>
        <w:t xml:space="preserve">“Quality by Design”</w:t>
      </w:r>
      <w:r>
        <w:t xml:space="preserve"> </w:t>
      </w:r>
      <w:r>
        <w:t xml:space="preserve">previno problemas en lugar de corregirlos. La entrega incremental permitió validación continua y adaptación.</w:t>
      </w:r>
    </w:p>
    <w:p>
      <w:pPr>
        <w:pStyle w:val="BodyText"/>
      </w:pPr>
      <w:r>
        <w:rPr>
          <w:b/>
          <w:bCs/>
        </w:rPr>
        <w:t xml:space="preserve">Factores Técnicos</w:t>
      </w:r>
      <w:r>
        <w:t xml:space="preserve">: La selección de tecnologías maduras (Spring Boot, React, PostgreSQL) aceleró el desarrollo. La aplicación de principios de Clean Architecture facilitó la evolución del sistema. La estrategia de testing multinivel proporcionó confianza completa en el sistema.</w:t>
      </w:r>
    </w:p>
    <w:p>
      <w:pPr>
        <w:pStyle w:val="BodyText"/>
      </w:pPr>
      <w:r>
        <w:rPr>
          <w:b/>
          <w:bCs/>
        </w:rPr>
        <w:t xml:space="preserve">Factores de Gestión</w:t>
      </w:r>
      <w:r>
        <w:t xml:space="preserve">: La definición clara del alcance mediante especificaciones detalladas previno scope creep. La gestión proactiva de riesgos mitigó todos los riesgos materializados. El control continuo de calidad mediante quality gates mantuvo estándares elevados.</w:t>
      </w:r>
    </w:p>
    <w:bookmarkEnd w:id="36"/>
    <w:bookmarkStart w:id="37" w:name="recomendaciones-para-proyectos-futuros"/>
    <w:p>
      <w:pPr>
        <w:pStyle w:val="Heading3"/>
      </w:pPr>
      <w:r>
        <w:rPr>
          <w:rStyle w:val="SectionNumber"/>
        </w:rPr>
        <w:t xml:space="preserve">1.7.5</w:t>
      </w:r>
      <w:r>
        <w:tab/>
      </w:r>
      <w:r>
        <w:t xml:space="preserve">4.7.5 Recomendaciones para Proyectos Futuros</w:t>
      </w:r>
    </w:p>
    <w:p>
      <w:pPr>
        <w:pStyle w:val="FirstParagraph"/>
      </w:pPr>
      <w:r>
        <w:t xml:space="preserve">Basándose en la experiencia adquirida, se formulan las siguientes recomendaciones:</w:t>
      </w:r>
    </w:p>
    <w:p>
      <w:pPr>
        <w:pStyle w:val="BodyText"/>
      </w:pPr>
      <w:r>
        <w:rPr>
          <w:b/>
          <w:bCs/>
        </w:rPr>
        <w:t xml:space="preserve">Estimación Mejorada</w:t>
      </w:r>
      <w:r>
        <w:t xml:space="preserve">: Incluir factores de complejidad de 1.5-2.0x para tareas que involucren concurrencia, optimización de rendimiento o tecnologías menos familiares. Implementar buffer time del 25% para tareas de alta complejidad técnica.</w:t>
      </w:r>
    </w:p>
    <w:p>
      <w:pPr>
        <w:pStyle w:val="BodyText"/>
      </w:pPr>
      <w:r>
        <w:rPr>
          <w:b/>
          <w:bCs/>
        </w:rPr>
        <w:t xml:space="preserve">Gestión de Riesgos</w:t>
      </w:r>
      <w:r>
        <w:t xml:space="preserve">: Priorizar la mitigación preventiva sobre la respuesta reactiva. Implementar prototipado temprano para validar decisiones arquitectónicas críticas. Desarrollar expertise en tecnologías especializadas antes de la implementación crítica.</w:t>
      </w:r>
    </w:p>
    <w:p>
      <w:pPr>
        <w:pStyle w:val="BodyText"/>
      </w:pPr>
      <w:r>
        <w:rPr>
          <w:b/>
          <w:bCs/>
        </w:rPr>
        <w:t xml:space="preserve">Calidad Integrada</w:t>
      </w:r>
      <w:r>
        <w:t xml:space="preserve">: Integrar property-based testing desde la fase de diseño para sistemas con algoritmos complejos. Implementar testing de rendimiento continuo en lugar de validación al final. Automatizar la generación de documentación para mantener sincronización.</w:t>
      </w:r>
    </w:p>
    <w:bookmarkEnd w:id="37"/>
    <w:bookmarkEnd w:id="38"/>
    <w:bookmarkStart w:id="39" w:name="conclusiones-de-la-gestión-del-proyecto"/>
    <w:p>
      <w:pPr>
        <w:pStyle w:val="Heading2"/>
      </w:pPr>
      <w:r>
        <w:rPr>
          <w:rStyle w:val="SectionNumber"/>
        </w:rPr>
        <w:t xml:space="preserve">1.8</w:t>
      </w:r>
      <w:r>
        <w:tab/>
      </w:r>
      <w:r>
        <w:t xml:space="preserve">4.8 Conclusiones de la Gestión del Proyecto</w:t>
      </w:r>
    </w:p>
    <w:p>
      <w:pPr>
        <w:pStyle w:val="FirstParagraph"/>
      </w:pPr>
      <w:r>
        <w:t xml:space="preserve">La gestión del proyecto URBIX demostró que es posible alcanzar estándares de calidad empresarial en contextos académicos mediante la aplicación sistemática de metodologías avanzadas de gestión de proyectos. La puntuación global de 9.5/10 en éxito del proyecto, con completitud del 100% y desviación temporal de solo +9%, establece un benchmark para proyectos académicos futuros.</w:t>
      </w:r>
    </w:p>
    <w:p>
      <w:pPr>
        <w:pStyle w:val="BodyText"/>
      </w:pPr>
      <w:r>
        <w:t xml:space="preserve">La validación empírica de Spec-Driven Development como metodología efectiva para proyectos de alta complejidad técnica constituye una contribución significativa al campo de la gestión de proyectos de software. La integración exitosa de testing basado en propiedades y documentación automática representa innovaciones metodológicas con aplicabilidad más amplia.</w:t>
      </w:r>
    </w:p>
    <w:p>
      <w:pPr>
        <w:pStyle w:val="BodyText"/>
      </w:pPr>
      <w:r>
        <w:t xml:space="preserve">El proyecto demostró que la gestión proactiva de riesgos, el control estricto de calidad y la adaptación controlada a complejidades imprevistas son factores críticos para el éxito en proyectos de software complejos. La experiencia proporciona un marco replicable para proyectos similares, con evidencia cuantitativa de efectividad y recomendaciones específicas para aplicación futura.</w:t>
      </w:r>
    </w:p>
    <w:p>
      <w:pPr>
        <w:pStyle w:val="BodyText"/>
      </w:pPr>
      <w:r>
        <w:t xml:space="preserve">La gestión del proyecto URBIX constituye un caso de estudio valioso que demuestra la viabilidad de aplicar estándares profesionales en contextos académicos, proporcionando un modelo para la excelencia en gestión de proyectos de ingeniería de software.</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4: Gestión y Dirección del Proyecto URBIX</dc:title>
  <dc:creator>Trabajo de Fin de Máster</dc:creator>
  <cp:keywords/>
  <dcterms:created xsi:type="dcterms:W3CDTF">2026-02-12T02:14:05Z</dcterms:created>
  <dcterms:modified xsi:type="dcterms:W3CDTF">2026-02-12T02:14:05Z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de febrero de 2026</vt:lpwstr>
  </property>
  <property fmtid="{D5CDD505-2E9C-101B-9397-08002B2CF9AE}" pid="3" name="subtitle">
    <vt:lpwstr>Sistema de Gestión de Limpieza Urbana</vt:lpwstr>
  </property>
</Properties>
</file>