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BM Plex Sans" w:cs="IBM Plex Sans" w:eastAsia="IBM Plex Sans" w:hAnsi="IBM Plex Sans"/>
          <w:b/>
          <w:bCs/>
          <w:caps/>
          <w:color w:val="0D6F66"/>
          <w:spacing w:val="30"/>
          <w:sz w:val="15"/>
          <w:szCs w:val="15"/>
        </w:rPr>
        <w:t xml:space="preserve">Status report</w:t>
      </w:r>
    </w:p>
    <w:p>
      <w:pPr>
        <w:spacing w:after="120"/>
      </w:pPr>
      <w:r>
        <w:rPr>
          <w:rFonts w:ascii="Schibsted Grotesk" w:cs="Schibsted Grotesk" w:eastAsia="Schibsted Grotesk" w:hAnsi="Schibsted Grotesk"/>
          <w:b/>
          <w:bCs/>
          <w:color w:val="101819"/>
          <w:sz w:val="40"/>
          <w:szCs w:val="40"/>
        </w:rPr>
        <w:t xml:space="preserve">Search and technical SEO on esmagico.com</w:t>
      </w:r>
    </w:p>
    <w:p>
      <w:pPr>
        <w:pBdr>
          <w:bottom w:val="single" w:color="101819" w:sz="12" w:space="10"/>
        </w:pBdr>
        <w:spacing w:after="160"/>
      </w:pPr>
      <w:r>
        <w:rPr>
          <w:rFonts w:ascii="IBM Plex Sans" w:cs="IBM Plex Sans" w:eastAsia="IBM Plex Sans" w:hAnsi="IBM Plex Sans"/>
          <w:color w:val="33403F"/>
          <w:sz w:val="21"/>
          <w:szCs w:val="21"/>
        </w:rPr>
        <w:t xml:space="preserve">The marketing site has been ported from the single file HTML prototype to Next.js, and the full SEO brief has been implemented across seven phases. The site is complete on the engineering side and is waiting on three decisions and one data export before launch.</w:t>
      </w:r>
    </w:p>
    <w:p>
      <w:pPr>
        <w:spacing w:after="200"/>
      </w:pPr>
      <w:r>
        <w:rPr>
          <w:rFonts w:ascii="IBM Plex Mono" w:cs="IBM Plex Mono" w:eastAsia="IBM Plex Mono" w:hAnsi="IBM Plex Mono"/>
          <w:color w:val="647373"/>
          <w:sz w:val="16"/>
          <w:szCs w:val="16"/>
        </w:rPr>
        <w:t xml:space="preserve">Date  </w:t>
      </w:r>
      <w:r>
        <w:rPr>
          <w:rFonts w:ascii="IBM Plex Mono" w:cs="IBM Plex Mono" w:eastAsia="IBM Plex Mono" w:hAnsi="IBM Plex Mono"/>
          <w:color w:val="101819"/>
          <w:sz w:val="16"/>
          <w:szCs w:val="16"/>
        </w:rPr>
        <w:t xml:space="preserve">23 September 2026</w:t>
      </w:r>
      <w:r>
        <w:rPr>
          <w:rFonts w:ascii="IBM Plex Mono" w:cs="IBM Plex Mono" w:eastAsia="IBM Plex Mono" w:hAnsi="IBM Plex Mono"/>
          <w:color w:val="647373"/>
          <w:sz w:val="16"/>
          <w:szCs w:val="16"/>
        </w:rPr>
        <w:t xml:space="preserve">     Repository  </w:t>
      </w:r>
      <w:r>
        <w:rPr>
          <w:rFonts w:ascii="IBM Plex Mono" w:cs="IBM Plex Mono" w:eastAsia="IBM Plex Mono" w:hAnsi="IBM Plex Mono"/>
          <w:color w:val="101819"/>
          <w:sz w:val="16"/>
          <w:szCs w:val="16"/>
        </w:rPr>
        <w:t xml:space="preserve">vyomvyas-esm/ESM-Website</w:t>
      </w:r>
      <w:r>
        <w:rPr>
          <w:rFonts w:ascii="IBM Plex Mono" w:cs="IBM Plex Mono" w:eastAsia="IBM Plex Mono" w:hAnsi="IBM Plex Mono"/>
          <w:color w:val="647373"/>
          <w:sz w:val="16"/>
          <w:szCs w:val="16"/>
        </w:rPr>
        <w:t xml:space="preserve">     Branch  </w:t>
      </w:r>
      <w:r>
        <w:rPr>
          <w:rFonts w:ascii="IBM Plex Mono" w:cs="IBM Plex Mono" w:eastAsia="IBM Plex Mono" w:hAnsi="IBM Plex Mono"/>
          <w:color w:val="101819"/>
          <w:sz w:val="16"/>
          <w:szCs w:val="16"/>
        </w:rPr>
        <w:t xml:space="preserve">seo/phase-6-redirects</w:t>
      </w:r>
    </w:p>
    <w:p>
      <w:pPr>
        <w:pBdr>
          <w:bottom w:val="single" w:color="D7E0DF" w:sz="6" w:space="6"/>
        </w:pBdr>
        <w:spacing w:after="140" w:before="320"/>
      </w:pPr>
      <w:r>
        <w:rPr>
          <w:rFonts w:ascii="Schibsted Grotesk" w:cs="Schibsted Grotesk" w:eastAsia="Schibsted Grotesk" w:hAnsi="Schibsted Grotesk"/>
          <w:b/>
          <w:bCs/>
          <w:color w:val="101819"/>
          <w:sz w:val="25"/>
          <w:szCs w:val="25"/>
        </w:rPr>
        <w:t xml:space="preserve">Where the site stands</w:t>
      </w:r>
    </w:p>
    <w:tbl>
      <w:tblPr>
        <w:tblW w:type="dxa" w:w="10080"/>
        <w:tblBorders>
          <w:top w:val="single" w:color="D7E0DF" w:sz="2"/>
          <w:left w:val="none" w:color="FFFFFF" w:sz="0"/>
          <w:bottom w:val="single" w:color="D7E0DF" w:sz="2"/>
          <w:right w:val="none" w:color="FFFFFF" w:sz="0"/>
          <w:insideH w:val="single" w:color="D7E0DF" w:sz="2"/>
          <w:insideV w:val="none" w:color="FFFFFF" w:sz="0"/>
        </w:tblBorders>
      </w:tblPr>
      <w:tblGrid>
        <w:gridCol w:w="2520"/>
        <w:gridCol w:w="2520"/>
        <w:gridCol w:w="2520"/>
        <w:gridCol w:w="2520"/>
      </w:tblGrid>
      <w:tr>
        <w:tc>
          <w:tcPr>
            <w:tcW w:type="dxa" w:w="2520"/>
            <w:shd w:fill="F2F6F5" w:color="auto" w:val="clear"/>
            <w:tcMar>
              <w:top w:type="dxa" w:w="90"/>
              <w:left w:type="dxa" w:w="120"/>
              <w:bottom w:type="dxa" w:w="90"/>
              <w:right w:type="dxa" w:w="120"/>
            </w:tcMar>
            <w:vAlign w:val="top"/>
          </w:tcPr>
          <w:p>
            <w:pPr>
              <w:spacing w:after="20"/>
            </w:pPr>
            <w:r>
              <w:rPr>
                <w:rFonts w:ascii="Schibsted Grotesk" w:cs="Schibsted Grotesk" w:eastAsia="Schibsted Grotesk" w:hAnsi="Schibsted Grotesk"/>
                <w:b/>
                <w:bCs/>
                <w:color w:val="101819"/>
                <w:sz w:val="28"/>
                <w:szCs w:val="28"/>
              </w:rPr>
              <w:t xml:space="preserve">417</w:t>
            </w:r>
          </w:p>
          <w:p>
            <w:r>
              <w:rPr>
                <w:rFonts w:ascii="IBM Plex Sans" w:cs="IBM Plex Sans" w:eastAsia="IBM Plex Sans" w:hAnsi="IBM Plex Sans"/>
                <w:color w:val="647373"/>
                <w:sz w:val="16"/>
                <w:szCs w:val="16"/>
              </w:rPr>
              <w:t xml:space="preserve">pages generated, every one static</w:t>
            </w:r>
          </w:p>
        </w:tc>
        <w:tc>
          <w:tcPr>
            <w:tcW w:type="dxa" w:w="2520"/>
            <w:shd w:fill="F2F6F5" w:color="auto" w:val="clear"/>
            <w:tcMar>
              <w:top w:type="dxa" w:w="90"/>
              <w:left w:type="dxa" w:w="120"/>
              <w:bottom w:type="dxa" w:w="90"/>
              <w:right w:type="dxa" w:w="120"/>
            </w:tcMar>
            <w:vAlign w:val="top"/>
          </w:tcPr>
          <w:p>
            <w:pPr>
              <w:spacing w:after="20"/>
            </w:pPr>
            <w:r>
              <w:rPr>
                <w:rFonts w:ascii="Schibsted Grotesk" w:cs="Schibsted Grotesk" w:eastAsia="Schibsted Grotesk" w:hAnsi="Schibsted Grotesk"/>
                <w:b/>
                <w:bCs/>
                <w:color w:val="101819"/>
                <w:sz w:val="28"/>
                <w:szCs w:val="28"/>
              </w:rPr>
              <w:t xml:space="preserve">417</w:t>
            </w:r>
          </w:p>
          <w:p>
            <w:r>
              <w:rPr>
                <w:rFonts w:ascii="IBM Plex Sans" w:cs="IBM Plex Sans" w:eastAsia="IBM Plex Sans" w:hAnsi="IBM Plex Sans"/>
                <w:color w:val="647373"/>
                <w:sz w:val="16"/>
                <w:szCs w:val="16"/>
              </w:rPr>
              <w:t xml:space="preserve">unique titles, canonicals and descriptions</w:t>
            </w:r>
          </w:p>
        </w:tc>
        <w:tc>
          <w:tcPr>
            <w:tcW w:type="dxa" w:w="2520"/>
            <w:shd w:fill="F2F6F5" w:color="auto" w:val="clear"/>
            <w:tcMar>
              <w:top w:type="dxa" w:w="90"/>
              <w:left w:type="dxa" w:w="120"/>
              <w:bottom w:type="dxa" w:w="90"/>
              <w:right w:type="dxa" w:w="120"/>
            </w:tcMar>
            <w:vAlign w:val="top"/>
          </w:tcPr>
          <w:p>
            <w:pPr>
              <w:spacing w:after="20"/>
            </w:pPr>
            <w:r>
              <w:rPr>
                <w:rFonts w:ascii="Schibsted Grotesk" w:cs="Schibsted Grotesk" w:eastAsia="Schibsted Grotesk" w:hAnsi="Schibsted Grotesk"/>
                <w:b/>
                <w:bCs/>
                <w:color w:val="101819"/>
                <w:sz w:val="28"/>
                <w:szCs w:val="28"/>
              </w:rPr>
              <w:t xml:space="preserve">1,166</w:t>
            </w:r>
          </w:p>
          <w:p>
            <w:r>
              <w:rPr>
                <w:rFonts w:ascii="IBM Plex Sans" w:cs="IBM Plex Sans" w:eastAsia="IBM Plex Sans" w:hAnsi="IBM Plex Sans"/>
                <w:color w:val="647373"/>
                <w:sz w:val="16"/>
                <w:szCs w:val="16"/>
              </w:rPr>
              <w:t xml:space="preserve">structured data nodes across seven types</w:t>
            </w:r>
          </w:p>
        </w:tc>
        <w:tc>
          <w:tcPr>
            <w:tcW w:type="dxa" w:w="2520"/>
            <w:shd w:fill="F2F6F5" w:color="auto" w:val="clear"/>
            <w:tcMar>
              <w:top w:type="dxa" w:w="90"/>
              <w:left w:type="dxa" w:w="120"/>
              <w:bottom w:type="dxa" w:w="90"/>
              <w:right w:type="dxa" w:w="120"/>
            </w:tcMar>
            <w:vAlign w:val="top"/>
          </w:tcPr>
          <w:p>
            <w:pPr>
              <w:spacing w:after="20"/>
            </w:pPr>
            <w:r>
              <w:rPr>
                <w:rFonts w:ascii="Schibsted Grotesk" w:cs="Schibsted Grotesk" w:eastAsia="Schibsted Grotesk" w:hAnsi="Schibsted Grotesk"/>
                <w:b/>
                <w:bCs/>
                <w:color w:val="101819"/>
                <w:sz w:val="28"/>
                <w:szCs w:val="28"/>
              </w:rPr>
              <w:t xml:space="preserve">0</w:t>
            </w:r>
          </w:p>
          <w:p>
            <w:r>
              <w:rPr>
                <w:rFonts w:ascii="IBM Plex Sans" w:cs="IBM Plex Sans" w:eastAsia="IBM Plex Sans" w:hAnsi="IBM Plex Sans"/>
                <w:color w:val="647373"/>
                <w:sz w:val="16"/>
                <w:szCs w:val="16"/>
              </w:rPr>
              <w:t xml:space="preserve">orphans, broken links or redirect chains</w:t>
            </w:r>
          </w:p>
        </w:tc>
      </w:tr>
    </w:tbl>
    <w:p>
      <w:pPr>
        <w:spacing w:after="160"/>
      </w:pPr>
      <w:r>
        <w:rPr>
          <w:rFonts w:ascii="IBM Plex Sans" w:cs="IBM Plex Sans" w:eastAsia="IBM Plex Sans" w:hAnsi="IBM Plex Sans"/>
          <w:color w:val="647373"/>
          <w:sz w:val="18"/>
          <w:szCs w:val="18"/>
        </w:rPr>
        <w:t xml:space="preserve">Every figure in this report comes from the verification script in the repository, which is executed against the generated HTML after every change. Four separate checks cover pages, links, redirects and the brand writing rules; they are part of the repository and can be repeated by anyone.</w:t>
      </w:r>
    </w:p>
    <w:p>
      <w:pPr>
        <w:pBdr>
          <w:bottom w:val="single" w:color="D7E0DF" w:sz="6" w:space="6"/>
        </w:pBdr>
        <w:spacing w:after="140" w:before="320"/>
      </w:pPr>
      <w:r>
        <w:rPr>
          <w:rFonts w:ascii="Schibsted Grotesk" w:cs="Schibsted Grotesk" w:eastAsia="Schibsted Grotesk" w:hAnsi="Schibsted Grotesk"/>
          <w:b/>
          <w:bCs/>
          <w:color w:val="101819"/>
          <w:sz w:val="25"/>
          <w:szCs w:val="25"/>
        </w:rPr>
        <w:t xml:space="preserve">What has been completed</w:t>
      </w:r>
    </w:p>
    <w:tbl>
      <w:tblPr>
        <w:tblW w:type="dxa" w:w="10080"/>
        <w:tblBorders>
          <w:top w:val="single" w:color="D7E0DF" w:sz="2"/>
          <w:left w:val="none" w:color="FFFFFF" w:sz="0"/>
          <w:bottom w:val="single" w:color="D7E0DF" w:sz="2"/>
          <w:right w:val="none" w:color="FFFFFF" w:sz="0"/>
          <w:insideH w:val="single" w:color="D7E0DF" w:sz="2"/>
          <w:insideV w:val="none" w:color="FFFFFF" w:sz="0"/>
        </w:tblBorders>
      </w:tblPr>
      <w:tblGrid>
        <w:gridCol w:w="1200"/>
        <w:gridCol w:w="7980"/>
        <w:gridCol w:w="900"/>
      </w:tblGrid>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Port</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The prototype became a Next.js 16 application</w:t>
            </w:r>
          </w:p>
          <w:p>
            <w:pPr>
              <w:spacing w:after="40"/>
            </w:pPr>
            <w:r>
              <w:rPr>
                <w:rFonts w:ascii="IBM Plex Sans" w:cs="IBM Plex Sans" w:eastAsia="IBM Plex Sans" w:hAnsi="IBM Plex Sans"/>
                <w:color w:val="33403F"/>
                <w:sz w:val="18"/>
                <w:szCs w:val="18"/>
              </w:rPr>
              <w:t xml:space="preserve">6.7 MB single file HTML with 359 pages toggled by JavaScript, converted to App Router with Tailwind v4, TypeScript and React 19.</w:t>
            </w:r>
          </w:p>
          <w:p>
            <w:pPr>
              <w:spacing w:after="0"/>
            </w:pPr>
            <w:r>
              <w:rPr>
                <w:rFonts w:ascii="IBM Plex Sans" w:cs="IBM Plex Sans" w:eastAsia="IBM Plex Sans" w:hAnsi="IBM Plex Sans"/>
                <w:color w:val="33403F"/>
                <w:sz w:val="18"/>
                <w:szCs w:val="18"/>
              </w:rPr>
              <w:t xml:space="preserve">Layout, spacing, colour and typography are unchanged: page heights were compared against the prototype page by page and match exactly.</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0</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Audit</w:t>
            </w:r>
          </w:p>
          <w:p>
            <w:pPr>
              <w:spacing w:after="0"/>
            </w:pPr>
            <w:r>
              <w:rPr>
                <w:rFonts w:ascii="IBM Plex Sans" w:cs="IBM Plex Sans" w:eastAsia="IBM Plex Sans" w:hAnsi="IBM Plex Sans"/>
                <w:color w:val="33403F"/>
                <w:sz w:val="18"/>
                <w:szCs w:val="18"/>
              </w:rPr>
              <w:t xml:space="preserve">Router, content storage, route inventory, rendering mode, client components, navigation, crawl files, image handling and font loading, reported before a single edit.</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1</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URL map, approved then applied</w:t>
            </w:r>
          </w:p>
          <w:p>
            <w:pPr>
              <w:spacing w:after="40"/>
            </w:pPr>
            <w:r>
              <w:rPr>
                <w:rFonts w:ascii="IBM Plex Sans" w:cs="IBM Plex Sans" w:eastAsia="IBM Plex Sans" w:hAnsi="IBM Plex Sans"/>
                <w:color w:val="33403F"/>
                <w:sz w:val="18"/>
                <w:szCs w:val="18"/>
              </w:rPr>
              <w:t xml:space="preserve">Trailing slashes as the single canonical form across all 417 pages.</w:t>
            </w:r>
          </w:p>
          <w:p>
            <w:pPr>
              <w:spacing w:after="40"/>
            </w:pPr>
            <w:r>
              <w:rPr>
                <w:rFonts w:ascii="IBM Plex Sans" w:cs="IBM Plex Sans" w:eastAsia="IBM Plex Sans" w:hAnsi="IBM Plex Sans"/>
                <w:color w:val="33403F"/>
                <w:sz w:val="18"/>
                <w:szCs w:val="18"/>
              </w:rPr>
              <w:t xml:space="preserve">/services/ became /engineering/; case studies now carry client names.</w:t>
            </w:r>
          </w:p>
          <w:p>
            <w:pPr>
              <w:spacing w:after="0"/>
            </w:pPr>
            <w:r>
              <w:rPr>
                <w:rFonts w:ascii="IBM Plex Sans" w:cs="IBM Plex Sans" w:eastAsia="IBM Plex Sans" w:hAnsi="IBM Plex Sans"/>
                <w:color w:val="33403F"/>
                <w:sz w:val="18"/>
                <w:szCs w:val="18"/>
              </w:rPr>
              <w:t xml:space="preserve">31 damaged blog slugs repaired: 27 cut mid word by the prototype, 4 with apostrophe fragments.</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2</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Metadata on every page</w:t>
            </w:r>
          </w:p>
          <w:p>
            <w:pPr>
              <w:spacing w:after="40"/>
            </w:pPr>
            <w:r>
              <w:rPr>
                <w:rFonts w:ascii="IBM Plex Sans" w:cs="IBM Plex Sans" w:eastAsia="IBM Plex Sans" w:hAnsi="IBM Plex Sans"/>
                <w:color w:val="33403F"/>
                <w:sz w:val="18"/>
                <w:szCs w:val="18"/>
              </w:rPr>
              <w:t xml:space="preserve">Origin and a single title template central; no page inherits a description.</w:t>
            </w:r>
          </w:p>
          <w:p>
            <w:pPr>
              <w:spacing w:after="40"/>
            </w:pPr>
            <w:r>
              <w:rPr>
                <w:rFonts w:ascii="IBM Plex Sans" w:cs="IBM Plex Sans" w:eastAsia="IBM Plex Sans" w:hAnsi="IBM Plex Sans"/>
                <w:color w:val="33403F"/>
                <w:sz w:val="18"/>
                <w:szCs w:val="18"/>
              </w:rPr>
              <w:t xml:space="preserve">Self referencing canonical, Open Graph and Twitter cards everywhere; 325 articles carry article type with dates, author and section.</w:t>
            </w:r>
          </w:p>
          <w:p>
            <w:pPr>
              <w:spacing w:after="40"/>
            </w:pPr>
            <w:r>
              <w:rPr>
                <w:rFonts w:ascii="IBM Plex Sans" w:cs="IBM Plex Sans" w:eastAsia="IBM Plex Sans" w:hAnsi="IBM Plex Sans"/>
                <w:color w:val="33403F"/>
                <w:sz w:val="18"/>
                <w:szCs w:val="18"/>
              </w:rPr>
              <w:t xml:space="preserve">250 descriptions derived from existing page copy under a strict rule, never paraphrased into new claims.</w:t>
            </w:r>
          </w:p>
          <w:p>
            <w:pPr>
              <w:spacing w:after="0"/>
            </w:pPr>
            <w:r>
              <w:rPr>
                <w:rFonts w:ascii="IBM Plex Sans" w:cs="IBM Plex Sans" w:eastAsia="IBM Plex Sans" w:hAnsi="IBM Plex Sans"/>
                <w:color w:val="33403F"/>
                <w:sz w:val="18"/>
                <w:szCs w:val="18"/>
              </w:rPr>
              <w:t xml:space="preserve">Index exclusion on the careers application page.</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3</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Structured data, server rendered</w:t>
            </w:r>
          </w:p>
          <w:p>
            <w:pPr>
              <w:spacing w:after="40"/>
            </w:pPr>
            <w:r>
              <w:rPr>
                <w:rFonts w:ascii="IBM Plex Sans" w:cs="IBM Plex Sans" w:eastAsia="IBM Plex Sans" w:hAnsi="IBM Plex Sans"/>
                <w:color w:val="33403F"/>
                <w:sz w:val="18"/>
                <w:szCs w:val="18"/>
              </w:rPr>
              <w:t xml:space="preserve">Organization and WebSite on every page, BreadcrumbList on all 416 pages below home, BlogPosting on 325 articles, Service on nine, FAQPage on five.</w:t>
            </w:r>
          </w:p>
          <w:p>
            <w:pPr>
              <w:spacing w:after="0"/>
            </w:pPr>
            <w:r>
              <w:rPr>
                <w:rFonts w:ascii="IBM Plex Sans" w:cs="IBM Plex Sans" w:eastAsia="IBM Plex Sans" w:hAnsi="IBM Plex Sans"/>
                <w:color w:val="33403F"/>
                <w:sz w:val="18"/>
                <w:szCs w:val="18"/>
              </w:rPr>
              <w:t xml:space="preserve">Validated in Google's Rich Results Test and the Schema Markup Validator with zero errors.</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4</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Crawl infrastructure</w:t>
            </w:r>
          </w:p>
          <w:p>
            <w:pPr>
              <w:spacing w:after="40"/>
            </w:pPr>
            <w:r>
              <w:rPr>
                <w:rFonts w:ascii="IBM Plex Sans" w:cs="IBM Plex Sans" w:eastAsia="IBM Plex Sans" w:hAnsi="IBM Plex Sans"/>
                <w:color w:val="33403F"/>
                <w:sz w:val="18"/>
                <w:szCs w:val="18"/>
              </w:rPr>
              <w:t xml:space="preserve">Sitemap index with three children; the journal sitemap carries image entries for all 647 figures.</w:t>
            </w:r>
          </w:p>
          <w:p>
            <w:pPr>
              <w:spacing w:after="40"/>
            </w:pPr>
            <w:r>
              <w:rPr>
                <w:rFonts w:ascii="IBM Plex Sans" w:cs="IBM Plex Sans" w:eastAsia="IBM Plex Sans" w:hAnsi="IBM Plex Sans"/>
                <w:color w:val="33403F"/>
                <w:sz w:val="18"/>
                <w:szCs w:val="18"/>
              </w:rPr>
              <w:t xml:space="preserve">Journal pagination and the six categories became real addresses, so all 325 articles are reachable. Previously only the first 12 were.</w:t>
            </w:r>
          </w:p>
          <w:p>
            <w:pPr>
              <w:spacing w:after="0"/>
            </w:pPr>
            <w:r>
              <w:rPr>
                <w:rFonts w:ascii="IBM Plex Sans" w:cs="IBM Plex Sans" w:eastAsia="IBM Plex Sans" w:hAnsi="IBM Plex Sans"/>
                <w:color w:val="33403F"/>
                <w:sz w:val="18"/>
                <w:szCs w:val="18"/>
              </w:rPr>
              <w:t xml:space="preserve">Robots file, genuine 404 responses, and internal links from 117 articles to the relevant industry, capability and case study pages.</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5</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Performance and images</w:t>
            </w:r>
          </w:p>
          <w:p>
            <w:pPr>
              <w:spacing w:after="40"/>
            </w:pPr>
            <w:r>
              <w:rPr>
                <w:rFonts w:ascii="IBM Plex Sans" w:cs="IBM Plex Sans" w:eastAsia="IBM Plex Sans" w:hAnsi="IBM Plex Sans"/>
                <w:color w:val="33403F"/>
                <w:sz w:val="18"/>
                <w:szCs w:val="18"/>
              </w:rPr>
              <w:t xml:space="preserve">The client's export of 647 images, 640 MB of PNGs, converted to WebP at 49 MB and named after their article.</w:t>
            </w:r>
          </w:p>
          <w:p>
            <w:pPr>
              <w:spacing w:after="40"/>
            </w:pPr>
            <w:r>
              <w:rPr>
                <w:rFonts w:ascii="IBM Plex Sans" w:cs="IBM Plex Sans" w:eastAsia="IBM Plex Sans" w:hAnsi="IBM Plex Sans"/>
                <w:color w:val="33403F"/>
                <w:sz w:val="18"/>
                <w:szCs w:val="18"/>
              </w:rPr>
              <w:t xml:space="preserve">94 articles that showed placeholders now carry their artwork; every image has explicit dimensions, lazy loading and derived alt text.</w:t>
            </w:r>
          </w:p>
          <w:p>
            <w:pPr>
              <w:spacing w:after="0"/>
            </w:pPr>
            <w:r>
              <w:rPr>
                <w:rFonts w:ascii="IBM Plex Sans" w:cs="IBM Plex Sans" w:eastAsia="IBM Plex Sans" w:hAnsi="IBM Plex Sans"/>
                <w:color w:val="33403F"/>
                <w:sz w:val="18"/>
                <w:szCs w:val="18"/>
              </w:rPr>
              <w:t xml:space="preserve">No raw image tags and no embedded data URIs remain anywhere in the site.</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Phase 6</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Redirects</w:t>
            </w:r>
          </w:p>
          <w:p>
            <w:pPr>
              <w:spacing w:after="40"/>
            </w:pPr>
            <w:r>
              <w:rPr>
                <w:rFonts w:ascii="IBM Plex Sans" w:cs="IBM Plex Sans" w:eastAsia="IBM Plex Sans" w:hAnsi="IBM Plex Sans"/>
                <w:color w:val="33403F"/>
                <w:sz w:val="18"/>
                <w:szCs w:val="18"/>
              </w:rPr>
              <w:t xml:space="preserve">40 permanent redirects covering every address the port changed, each reaching its new page in a single hop from either URL form.</w:t>
            </w:r>
          </w:p>
          <w:p>
            <w:pPr>
              <w:spacing w:after="0"/>
            </w:pPr>
            <w:r>
              <w:rPr>
                <w:rFonts w:ascii="IBM Plex Sans" w:cs="IBM Plex Sans" w:eastAsia="IBM Plex Sans" w:hAnsi="IBM Plex Sans"/>
                <w:color w:val="33403F"/>
                <w:sz w:val="18"/>
                <w:szCs w:val="18"/>
              </w:rPr>
              <w:t xml:space="preserve">Verified against a production server, not assumed.</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r>
        <w:tc>
          <w:tcPr>
            <w:tcW w:type="dxa" w:w="1200"/>
            <w:tcMar>
              <w:top w:type="dxa" w:w="90"/>
              <w:left w:type="dxa" w:w="120"/>
              <w:bottom w:type="dxa" w:w="90"/>
              <w:right w:type="dxa" w:w="120"/>
            </w:tcMar>
            <w:vAlign w:val="top"/>
          </w:tcPr>
          <w:p>
            <w:r>
              <w:rPr>
                <w:rFonts w:ascii="IBM Plex Mono" w:cs="IBM Plex Mono" w:eastAsia="IBM Plex Mono" w:hAnsi="IBM Plex Mono"/>
                <w:color w:val="647373"/>
                <w:sz w:val="16"/>
                <w:szCs w:val="16"/>
              </w:rPr>
              <w:t xml:space="preserve">Copy</w:t>
            </w:r>
          </w:p>
        </w:tc>
        <w:tc>
          <w:tcPr>
            <w:tcW w:type="dxa" w:w="798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167 descriptions and 28 titles written and applied</w:t>
            </w:r>
          </w:p>
          <w:p>
            <w:pPr>
              <w:spacing w:after="40"/>
            </w:pPr>
            <w:r>
              <w:rPr>
                <w:rFonts w:ascii="IBM Plex Sans" w:cs="IBM Plex Sans" w:eastAsia="IBM Plex Sans" w:hAnsi="IBM Plex Sans"/>
                <w:color w:val="33403F"/>
                <w:sz w:val="18"/>
                <w:szCs w:val="18"/>
              </w:rPr>
              <w:t xml:space="preserve">The pages whose own copy could not yield a description, and the titles that were taglines rather than search terms, went back to the site's copywriter with the source text for each.</w:t>
            </w:r>
          </w:p>
          <w:p>
            <w:pPr>
              <w:spacing w:after="0"/>
            </w:pPr>
            <w:r>
              <w:rPr>
                <w:rFonts w:ascii="IBM Plex Sans" w:cs="IBM Plex Sans" w:eastAsia="IBM Plex Sans" w:hAnsi="IBM Plex Sans"/>
                <w:color w:val="33403F"/>
                <w:sz w:val="18"/>
                <w:szCs w:val="18"/>
              </w:rPr>
              <w:t xml:space="preserve">All 195 came back, passed validation for length, uniqueness and the brand writing rules, and are live in the metadata.</w:t>
            </w:r>
          </w:p>
        </w:tc>
        <w:tc>
          <w:tcPr>
            <w:tcW w:type="dxa" w:w="900"/>
            <w:tcMar>
              <w:top w:type="dxa" w:w="90"/>
              <w:left w:type="dxa" w:w="120"/>
              <w:bottom w:type="dxa" w:w="90"/>
              <w:right w:type="dxa" w:w="120"/>
            </w:tcMar>
            <w:vAlign w:val="top"/>
          </w:tcPr>
          <w:p>
            <w:pPr>
              <w:jc w:val="right"/>
            </w:pPr>
            <w:r>
              <w:rPr>
                <w:rFonts w:ascii="IBM Plex Sans" w:cs="IBM Plex Sans" w:eastAsia="IBM Plex Sans" w:hAnsi="IBM Plex Sans"/>
                <w:b/>
                <w:bCs/>
                <w:caps/>
                <w:color w:val="2C6A4E"/>
                <w:spacing w:val="20"/>
                <w:sz w:val="15"/>
                <w:szCs w:val="15"/>
              </w:rPr>
              <w:t xml:space="preserve">Done</w:t>
            </w:r>
          </w:p>
        </w:tc>
      </w:tr>
    </w:tbl>
    <w:p>
      <w:r>
        <w:br w:type="page"/>
      </w:r>
    </w:p>
    <w:p>
      <w:pPr>
        <w:pBdr>
          <w:bottom w:val="single" w:color="D7E0DF" w:sz="6" w:space="6"/>
        </w:pBdr>
        <w:spacing w:after="140" w:before="320"/>
      </w:pPr>
      <w:r>
        <w:rPr>
          <w:rFonts w:ascii="Schibsted Grotesk" w:cs="Schibsted Grotesk" w:eastAsia="Schibsted Grotesk" w:hAnsi="Schibsted Grotesk"/>
          <w:b/>
          <w:bCs/>
          <w:color w:val="101819"/>
          <w:sz w:val="25"/>
          <w:szCs w:val="25"/>
        </w:rPr>
        <w:t xml:space="preserve">Verification, repeatable on demand</w:t>
      </w:r>
    </w:p>
    <w:tbl>
      <w:tblPr>
        <w:tblW w:type="dxa" w:w="10080"/>
        <w:tblBorders>
          <w:top w:val="single" w:color="D7E0DF" w:sz="2"/>
          <w:left w:val="none" w:color="FFFFFF" w:sz="0"/>
          <w:bottom w:val="single" w:color="D7E0DF" w:sz="2"/>
          <w:right w:val="none" w:color="FFFFFF" w:sz="0"/>
          <w:insideH w:val="single" w:color="D7E0DF" w:sz="2"/>
          <w:insideV w:val="none" w:color="FFFFFF" w:sz="0"/>
        </w:tblBorders>
      </w:tblPr>
      <w:tblGrid>
        <w:gridCol w:w="8180"/>
        <w:gridCol w:w="1900"/>
      </w:tblGrid>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Pages generated, all static, none server rendered on request</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424 / 424</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Unique titles, unique canonicals, duplicate descriptions</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417 / 417 / 0</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Pages carrying exactly one top level heading</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417</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Structured data issues across all pages</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0</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Sitemap against generated pages: missing, stray, image entries</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0 / 0 / 647</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Link crawl: pages reached, orphans, broken, redirecting</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417 / 0 / 0 / 0</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Redirect map: entries, issues</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40 / 0</w:t>
            </w:r>
          </w:p>
        </w:tc>
      </w:tr>
      <w:tr>
        <w:tc>
          <w:tcPr>
            <w:tcW w:type="dxa" w:w="8180"/>
            <w:tcMar>
              <w:top w:type="dxa" w:w="90"/>
              <w:left w:type="dxa" w:w="120"/>
              <w:bottom w:type="dxa" w:w="90"/>
              <w:right w:type="dxa" w:w="120"/>
            </w:tcMar>
          </w:tcPr>
          <w:p>
            <w:r>
              <w:rPr>
                <w:rFonts w:ascii="IBM Plex Sans" w:cs="IBM Plex Sans" w:eastAsia="IBM Plex Sans" w:hAnsi="IBM Plex Sans"/>
                <w:color w:val="33403F"/>
                <w:sz w:val="18"/>
                <w:szCs w:val="18"/>
              </w:rPr>
              <w:t xml:space="preserve">Brand rule violations in everything written for this work</w:t>
            </w:r>
          </w:p>
        </w:tc>
        <w:tc>
          <w:tcPr>
            <w:tcW w:type="dxa" w:w="1900"/>
            <w:tcMar>
              <w:top w:type="dxa" w:w="90"/>
              <w:left w:type="dxa" w:w="120"/>
              <w:bottom w:type="dxa" w:w="90"/>
              <w:right w:type="dxa" w:w="120"/>
            </w:tcMar>
          </w:tcPr>
          <w:p>
            <w:pPr>
              <w:jc w:val="right"/>
            </w:pPr>
            <w:r>
              <w:rPr>
                <w:rFonts w:ascii="IBM Plex Mono" w:cs="IBM Plex Mono" w:eastAsia="IBM Plex Mono" w:hAnsi="IBM Plex Mono"/>
                <w:color w:val="101819"/>
                <w:sz w:val="17"/>
                <w:szCs w:val="17"/>
              </w:rPr>
              <w:t xml:space="preserve">0</w:t>
            </w:r>
          </w:p>
        </w:tc>
      </w:tr>
    </w:tbl>
    <w:p>
      <w:pPr>
        <w:pBdr>
          <w:bottom w:val="single" w:color="D7E0DF" w:sz="6" w:space="6"/>
        </w:pBdr>
        <w:spacing w:after="140" w:before="320"/>
      </w:pPr>
      <w:r>
        <w:rPr>
          <w:rFonts w:ascii="Schibsted Grotesk" w:cs="Schibsted Grotesk" w:eastAsia="Schibsted Grotesk" w:hAnsi="Schibsted Grotesk"/>
          <w:b/>
          <w:bCs/>
          <w:color w:val="101819"/>
          <w:sz w:val="25"/>
          <w:szCs w:val="25"/>
        </w:rPr>
        <w:t xml:space="preserve">Future steps</w:t>
      </w:r>
    </w:p>
    <w:p>
      <w:pPr>
        <w:spacing w:after="140"/>
      </w:pPr>
      <w:r>
        <w:rPr>
          <w:rFonts w:ascii="IBM Plex Sans" w:cs="IBM Plex Sans" w:eastAsia="IBM Plex Sans" w:hAnsi="IBM Plex Sans"/>
          <w:color w:val="647373"/>
          <w:sz w:val="18"/>
          <w:szCs w:val="18"/>
        </w:rPr>
        <w:t xml:space="preserve">Eighteen items remain open. The eight below are the ones that need a person; the first holds up launch.</w:t>
      </w:r>
    </w:p>
    <w:tbl>
      <w:tblPr>
        <w:tblW w:type="dxa" w:w="10080"/>
        <w:tblBorders>
          <w:top w:val="single" w:color="D7E0DF" w:sz="2"/>
          <w:left w:val="none" w:color="FFFFFF" w:sz="0"/>
          <w:bottom w:val="single" w:color="D7E0DF" w:sz="2"/>
          <w:right w:val="none" w:color="FFFFFF" w:sz="0"/>
          <w:insideH w:val="single" w:color="D7E0DF" w:sz="2"/>
          <w:insideV w:val="none" w:color="FFFFFF" w:sz="0"/>
        </w:tblBorders>
      </w:tblPr>
      <w:tblGrid>
        <w:gridCol w:w="620"/>
        <w:gridCol w:w="7360"/>
        <w:gridCol w:w="2100"/>
      </w:tblGrid>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01</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Search Console export of the currently indexed addresses</w:t>
            </w:r>
          </w:p>
          <w:p>
            <w:r>
              <w:rPr>
                <w:rFonts w:ascii="IBM Plex Sans" w:cs="IBM Plex Sans" w:eastAsia="IBM Plex Sans" w:hAnsi="IBM Plex Sans"/>
                <w:color w:val="33403F"/>
                <w:sz w:val="18"/>
                <w:szCs w:val="18"/>
              </w:rPr>
              <w:t xml:space="preserve">The 40 redirects cover what this port changed. The addresses the live site has indexed today are unknown to the repository, so links from search results would reach a 404 at launch. The export drops straight into the prepared file and each entry maps to its nearest section.</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Marketing. Blocks launch.</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02</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Breadcrumb wording decision</w:t>
            </w:r>
          </w:p>
          <w:p>
            <w:r>
              <w:rPr>
                <w:rFonts w:ascii="IBM Plex Sans" w:cs="IBM Plex Sans" w:eastAsia="IBM Plex Sans" w:hAnsi="IBM Plex Sans"/>
                <w:color w:val="33403F"/>
                <w:sz w:val="18"/>
                <w:szCs w:val="18"/>
              </w:rPr>
              <w:t xml:space="preserve">Visible breadcrumbs show section labels such as Resources and Company that are not pages. Google rejects those entries in the schema, so they are left out of it while the visible trail is untouched. Making the two identical means either dropping the label from the design or creating real section pages.</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Design and SEO</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03</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Typefaces</w:t>
            </w:r>
          </w:p>
          <w:p>
            <w:r>
              <w:rPr>
                <w:rFonts w:ascii="IBM Plex Sans" w:cs="IBM Plex Sans" w:eastAsia="IBM Plex Sans" w:hAnsi="IBM Plex Sans"/>
                <w:color w:val="33403F"/>
                <w:sz w:val="18"/>
                <w:szCs w:val="18"/>
              </w:rPr>
              <w:t xml:space="preserve">The brief names Archivo and IBM Plex Mono; the design uses Inter and Schibsted Grotesk, both self hosted and subset. Changing families is a visible typography change, so the design's own faces stay until someone decides otherwise.</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Design</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04</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Two facts the site does not state</w:t>
            </w:r>
          </w:p>
          <w:p>
            <w:r>
              <w:rPr>
                <w:rFonts w:ascii="IBM Plex Sans" w:cs="IBM Plex Sans" w:eastAsia="IBM Plex Sans" w:hAnsi="IBM Plex Sans"/>
                <w:color w:val="33403F"/>
                <w:sz w:val="18"/>
                <w:szCs w:val="18"/>
              </w:rPr>
              <w:t xml:space="preserve">Team size and all three office addresses are now in the organisation schema, taken from the About page, and the legal pages carry the update date they print. Two gaps are left: the year the company was founded appears nowhere on the site, and there is no image at the 1200 by 630 proportion that social platforms crop to, so link previews fall back to the hero.</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Marketing</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05</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208 articles without internal links</w:t>
            </w:r>
          </w:p>
          <w:p>
            <w:r>
              <w:rPr>
                <w:rFonts w:ascii="IBM Plex Sans" w:cs="IBM Plex Sans" w:eastAsia="IBM Plex Sans" w:hAnsi="IBM Plex Sans"/>
                <w:color w:val="33403F"/>
                <w:sz w:val="18"/>
                <w:szCs w:val="18"/>
              </w:rPr>
              <w:t xml:space="preserve">Links were derived only where the data supports it, never guessed. Articles in the Agentic AI, AI Models, AI Tools and Es Magico categories carry no industry or capability signal. Each needs a target chosen by a person; the list is in the repository.</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Content</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06</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Two gaps in the image export</w:t>
            </w:r>
          </w:p>
          <w:p>
            <w:r>
              <w:rPr>
                <w:rFonts w:ascii="IBM Plex Sans" w:cs="IBM Plex Sans" w:eastAsia="IBM Plex Sans" w:hAnsi="IBM Plex Sans"/>
                <w:color w:val="33403F"/>
                <w:sz w:val="18"/>
                <w:szCs w:val="18"/>
              </w:rPr>
              <w:t xml:space="preserve">One article has an empty folder and another has a single image instead of two, so those slots keep the placeholder. One mis numbered folder was reassigned on the evidence of the image itself and needs a second opinion.</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Content</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07</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Merge the stack and confirm the production origin</w:t>
            </w:r>
          </w:p>
          <w:p>
            <w:r>
              <w:rPr>
                <w:rFonts w:ascii="IBM Plex Sans" w:cs="IBM Plex Sans" w:eastAsia="IBM Plex Sans" w:hAnsi="IBM Plex Sans"/>
                <w:color w:val="33403F"/>
                <w:sz w:val="18"/>
                <w:szCs w:val="18"/>
              </w:rPr>
              <w:t xml:space="preserve">Five pull requests are open and stacked in order; the sixth is ready to open. The origin is set to the domain without www and needs confirming against the hosting before launch.</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Engineering</w:t>
            </w:r>
          </w:p>
        </w:tc>
      </w:tr>
      <w:tr>
        <w:tc>
          <w:tcPr>
            <w:tcW w:type="dxa" w:w="620"/>
            <w:tcMar>
              <w:top w:type="dxa" w:w="90"/>
              <w:left w:type="dxa" w:w="120"/>
              <w:bottom w:type="dxa" w:w="90"/>
              <w:right w:type="dxa" w:w="120"/>
            </w:tcMar>
            <w:vAlign w:val="top"/>
          </w:tcPr>
          <w:p>
            <w:r>
              <w:rPr>
                <w:rFonts w:ascii="IBM Plex Mono" w:cs="IBM Plex Mono" w:eastAsia="IBM Plex Mono" w:hAnsi="IBM Plex Mono"/>
                <w:color w:val="0D6F66"/>
                <w:sz w:val="16"/>
                <w:szCs w:val="16"/>
              </w:rPr>
              <w:t xml:space="preserve">08</w:t>
            </w:r>
          </w:p>
        </w:tc>
        <w:tc>
          <w:tcPr>
            <w:tcW w:type="dxa" w:w="7360"/>
            <w:tcMar>
              <w:top w:type="dxa" w:w="90"/>
              <w:left w:type="dxa" w:w="120"/>
              <w:bottom w:type="dxa" w:w="90"/>
              <w:right w:type="dxa" w:w="120"/>
            </w:tcMar>
            <w:vAlign w:val="top"/>
          </w:tcPr>
          <w:p>
            <w:pPr>
              <w:spacing w:after="40"/>
            </w:pPr>
            <w:r>
              <w:rPr>
                <w:rFonts w:ascii="Schibsted Grotesk" w:cs="Schibsted Grotesk" w:eastAsia="Schibsted Grotesk" w:hAnsi="Schibsted Grotesk"/>
                <w:b/>
                <w:bCs/>
                <w:color w:val="101819"/>
                <w:sz w:val="19"/>
                <w:szCs w:val="19"/>
              </w:rPr>
              <w:t xml:space="preserve">After launch</w:t>
            </w:r>
          </w:p>
          <w:p>
            <w:r>
              <w:rPr>
                <w:rFonts w:ascii="IBM Plex Sans" w:cs="IBM Plex Sans" w:eastAsia="IBM Plex Sans" w:hAnsi="IBM Plex Sans"/>
                <w:color w:val="33403F"/>
                <w:sz w:val="18"/>
                <w:szCs w:val="18"/>
              </w:rPr>
              <w:t xml:space="preserve">Submit the sitemap index in Search Console, repeat the Rich Results Test against live addresses rather than pasted markup, watch 404 reports for addresses the export missed, and repeat the link crawl against the deployed site.</w:t>
            </w:r>
          </w:p>
        </w:tc>
        <w:tc>
          <w:tcPr>
            <w:tcW w:type="dxa" w:w="2100"/>
            <w:tcMar>
              <w:top w:type="dxa" w:w="90"/>
              <w:left w:type="dxa" w:w="120"/>
              <w:bottom w:type="dxa" w:w="90"/>
              <w:right w:type="dxa" w:w="120"/>
            </w:tcMar>
            <w:vAlign w:val="top"/>
          </w:tcPr>
          <w:p>
            <w:pPr>
              <w:jc w:val="right"/>
            </w:pPr>
            <w:r>
              <w:rPr>
                <w:rFonts w:ascii="IBM Plex Sans" w:cs="IBM Plex Sans" w:eastAsia="IBM Plex Sans" w:hAnsi="IBM Plex Sans"/>
                <w:color w:val="647373"/>
                <w:sz w:val="16"/>
                <w:szCs w:val="16"/>
              </w:rPr>
              <w:t xml:space="preserve">Marketing and Engineering</w:t>
            </w:r>
          </w:p>
        </w:tc>
      </w:tr>
    </w:tbl>
    <w:p>
      <w:pPr>
        <w:spacing w:after="60"/>
      </w:pPr>
      <w:r>
        <w:rPr>
          <w:rFonts w:ascii="IBM Plex Sans" w:cs="IBM Plex Sans" w:eastAsia="IBM Plex Sans" w:hAnsi="IBM Plex Sans"/>
          <w:color w:val="647373"/>
          <w:sz w:val="18"/>
          <w:szCs w:val="18"/>
        </w:rPr>
        <w:t xml:space="preserve">Everything above, along with ten further assumptions recorded during the work, is tracked in docs/seo-open-items.md in the repository, with the phase it came from and its current state.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33403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 Magico: search and technical SEO status</dc:title>
  <dc:creator>Es Magico</dc:creator>
  <dc:description>Status report on the search and technical SEO work for esmagico.com</dc:description>
  <cp:lastModifiedBy>Un-named</cp:lastModifiedBy>
  <cp:revision>1</cp:revision>
  <dcterms:created xsi:type="dcterms:W3CDTF">2026-09-23T04:31:17.325Z</dcterms:created>
  <dcterms:modified xsi:type="dcterms:W3CDTF">2026-09-23T04:31:17.326Z</dcterms:modified>
</cp:coreProperties>
</file>

<file path=docProps/custom.xml><?xml version="1.0" encoding="utf-8"?>
<Properties xmlns="http://schemas.openxmlformats.org/officeDocument/2006/custom-properties" xmlns:vt="http://schemas.openxmlformats.org/officeDocument/2006/docPropsVTypes"/>
</file>