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a5kk739b261" w:id="0"/>
      <w:bookmarkEnd w:id="0"/>
      <w:r w:rsidDel="00000000" w:rsidR="00000000" w:rsidRPr="00000000">
        <w:rPr>
          <w:rtl w:val="0"/>
        </w:rPr>
        <w:t xml:space="preserve">Electron app conventions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Keep main-process and renderer concerns separated; use typed IPC schemas.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Prefer shared domain types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</w:t>
      </w:r>
      <w:r w:rsidDel="00000000" w:rsidR="00000000" w:rsidRPr="00000000">
        <w:rPr>
          <w:rtl w:val="0"/>
        </w:rPr>
        <w:t xml:space="preserve"> over duplicating contracts.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 not put secrets in renderer code or committed config.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After app-affecting code changes, rebuild and restart Electron rather than assuming hot reload.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Prefer existing UI primitives in the design system over one-off components.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