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ww53kasrzqw" w:id="0"/>
      <w:bookmarkEnd w:id="0"/>
      <w:r w:rsidDel="00000000" w:rsidR="00000000" w:rsidRPr="00000000">
        <w:rPr>
          <w:rtl w:val="0"/>
        </w:rPr>
        <w:t xml:space="preserve">name: electron-workflow description: Work safely across Electron main, preload, renderer, IPC, and packaging. Use when changing Electron processes, IPC, preload bridges, desktop UX, or packaging/dev vs packaged paths.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ynvvtesb8oy6" w:id="1"/>
      <w:bookmarkEnd w:id="1"/>
      <w:r w:rsidDel="00000000" w:rsidR="00000000" w:rsidRPr="00000000">
        <w:rPr>
          <w:rtl w:val="0"/>
        </w:rPr>
        <w:t xml:space="preserve">Electron workflow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8ukoeqlcios5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Confirm whether the change belongs in main, preload, renderer, or shared.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Update IPC schemas and handlers together; keep types in sync.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Avoid Node APIs in the renderer; go through preload bridges.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Test the affected path after rebuild when IPC or main-process code changes.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Keep packaging and path assumptions explicit (dev vs packaged resources).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Prefer small, verified patches over broad process rewrites.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