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5ux5j8txn81" w:id="0"/>
      <w:bookmarkEnd w:id="0"/>
      <w:r w:rsidDel="00000000" w:rsidR="00000000" w:rsidRPr="00000000">
        <w:rPr>
          <w:rtl w:val="0"/>
        </w:rPr>
        <w:t xml:space="preserve">name: test-writing description: Add, fix, or expand automated tests (unit, integration, UI) matching project conventions. Use when writing tests, fixing failing tests, improving coverage on a risky path, or when the user asks for test help.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7bubgiudphb" w:id="1"/>
      <w:bookmarkEnd w:id="1"/>
      <w:r w:rsidDel="00000000" w:rsidR="00000000" w:rsidRPr="00000000">
        <w:rPr>
          <w:rtl w:val="0"/>
        </w:rPr>
        <w:t xml:space="preserve">Test writing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1yqnn55enjj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Match the project's existing test runner, layout, and assertion style.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Cover the failing or risky path first; avoid speculative broad suites.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focused cases with clear arrange / act / assert structure.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Assert observable behavior, not private implementation details.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 tests after the behavior under test.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Re-run the relevant tests after changes and fix failures you introduce.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1–2 clarifying questions only when intended behavior is ambiguous.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