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Providers and API keys description: Configure one of ten provider hosts, store credentials securely, and make a configured provider active. section: customize order: 1 type: guide audience: Everyone configuring models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src/renderer/src/features/settings/sections/ProvidersSection.tsx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src/renderer/src/features/settings/components/ProviderKeyAccordion.tsx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src/shared/domain/providers.ts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src/main/settings/settings.ts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customize/models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troubleshooting/providers-models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start/quickstart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Providers</w:t>
      </w:r>
      <w:r w:rsidDel="00000000" w:rsidR="00000000" w:rsidRPr="00000000">
        <w:rPr>
          <w:rtl w:val="0"/>
        </w:rPr>
        <w:t xml:space="preserve">. Agent V supports ten provider IDs: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only for Ollama Cloud; local host is keyless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DeepSeek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OpenAI-compatible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 required for public hosts; private and loopback hosts can be keyless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Before you change provider settings, </w:t>
      </w:r>
      <w:r w:rsidDel="00000000" w:rsidR="00000000" w:rsidRPr="00000000">
        <w:rPr>
          <w:b w:val="1"/>
          <w:bCs w:val="1"/>
          <w:rtl w:val="0"/>
        </w:rPr>
        <w:t xml:space="preserve">Active provider</w:t>
      </w:r>
      <w:r w:rsidDel="00000000" w:rsidR="00000000" w:rsidRPr="00000000">
        <w:rPr>
          <w:rtl w:val="0"/>
        </w:rPr>
        <w:t xml:space="preserve"> shows local Ollama and the selected model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qwen2.5</w:t>
      </w:r>
      <w:r w:rsidDel="00000000" w:rsidR="00000000" w:rsidRPr="00000000">
        <w:rPr>
          <w:rtl w:val="0"/>
        </w:rPr>
        <w:t xml:space="preserve">. This initial active selection does not install or start Ollama, and it does not prove that the local endpoint is reachable.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lukrt35a4xvr" w:id="0"/>
      <w:bookmarkEnd w:id="0"/>
      <w:r w:rsidDel="00000000" w:rsidR="00000000" w:rsidRPr="00000000">
        <w:rPr>
          <w:rtl w:val="0"/>
        </w:rPr>
        <w:t xml:space="preserve">Configure a cloud provider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Expand the host under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Enter and save the key. Credentials use Electron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  <w:t xml:space="preserve">; they are not written into workspace files.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Active provider</w:t>
      </w:r>
      <w:r w:rsidDel="00000000" w:rsidR="00000000" w:rsidRPr="00000000">
        <w:rPr>
          <w:rtl w:val="0"/>
        </w:rPr>
        <w:t xml:space="preserve">. Saving a key does not switch Active automatically.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Return to the composer, open the model picker, and select a model.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Refresh models</w:t>
      </w:r>
      <w:r w:rsidDel="00000000" w:rsidR="00000000" w:rsidRPr="00000000">
        <w:rPr>
          <w:rtl w:val="0"/>
        </w:rPr>
        <w:t xml:space="preserve"> to query the provider's current catalog.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Active menu lists configured providers and always retains the current active provider. A provider counts as configured when it has a saved key or its current Ollama/Custom host is allowed to be keyless.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bnfbp1cls7vm" w:id="1"/>
      <w:bookmarkEnd w:id="1"/>
      <w:r w:rsidDel="00000000" w:rsidR="00000000" w:rsidRPr="00000000">
        <w:rPr>
          <w:rtl w:val="0"/>
        </w:rPr>
        <w:t xml:space="preserve">Configure Ollama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Ollama base URL</w:t>
      </w:r>
      <w:r w:rsidDel="00000000" w:rsidR="00000000" w:rsidRPr="00000000">
        <w:rPr>
          <w:rtl w:val="0"/>
        </w:rPr>
        <w:t xml:space="preserve">. The local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http://127.0.0.1:11434</w:t>
      </w:r>
      <w:r w:rsidDel="00000000" w:rsidR="00000000" w:rsidRPr="00000000">
        <w:rPr>
          <w:rtl w:val="0"/>
        </w:rPr>
        <w:t xml:space="preserve">. A saved Ollama key with the local URL routes to Ollama Cloud; an explicit remote host remains explicit.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99hzu1u3duz" w:id="2"/>
      <w:bookmarkEnd w:id="2"/>
      <w:r w:rsidDel="00000000" w:rsidR="00000000" w:rsidRPr="00000000">
        <w:rPr>
          <w:rtl w:val="0"/>
        </w:rPr>
        <w:t xml:space="preserve">Configure an OpenAI-compatible host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Custom OpenAI base URL</w:t>
      </w:r>
      <w:r w:rsidDel="00000000" w:rsidR="00000000" w:rsidRPr="00000000">
        <w:rPr>
          <w:rtl w:val="0"/>
        </w:rPr>
        <w:t xml:space="preserve">. The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http://127.0.0.1:8080/v1</w:t>
      </w:r>
      <w:r w:rsidDel="00000000" w:rsidR="00000000" w:rsidRPr="00000000">
        <w:rPr>
          <w:rtl w:val="0"/>
        </w:rPr>
        <w:t xml:space="preserve">. The app normalizes the scheme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path and preserves vendor suffixes that already include a v1 mount.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5w017f72j7j" w:id="3"/>
      <w:bookmarkEnd w:id="3"/>
      <w:r w:rsidDel="00000000" w:rsidR="00000000" w:rsidRPr="00000000">
        <w:rPr>
          <w:rtl w:val="0"/>
        </w:rPr>
        <w:t xml:space="preserve">Troubleshoot activation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a saved provider does not appear, confirm the key or keyless-host rule, then refresh Settings. If the live model catalog fails, fallback seed names can still appear; that does not prove the remote endpoint accepted a chat request.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