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158d952i8sa" w:id="0"/>
      <w:bookmarkEnd w:id="0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Detailed architecture reference lives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docs/reference/2026-jun-aug/15-architecture.md</w:t>
        </w:r>
      </w:hyperlink>
      <w:r w:rsidDel="00000000" w:rsidR="00000000" w:rsidRPr="00000000">
        <w:rPr>
          <w:rtl w:val="0"/>
        </w:rPr>
        <w:t xml:space="preserve"> (process boundaries, aliases, persistence, invoke flow).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Quick layout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src/main/          # window, security, IPC, secrets, agent loop / tools / providers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src/preload/       # contextBridge API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src/shared/        # Zod IPC contracts, channels, domain models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src/renderer/      # React UI (sidebar + chat + settings)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resources/harness/ # system agent harness (default.md)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 state under AppData: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{userData}/workspaces/{workspaceId}/sessions/{runId}/</w:t>
      </w:r>
      <w:r w:rsidDel="00000000" w:rsidR="00000000" w:rsidRPr="00000000">
        <w:rPr>
          <w:rtl w:val="0"/>
        </w:rPr>
        <w:t xml:space="preserve">. Project memory: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reference/2026-jun-aug/15-architectur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