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wqdunl6gic0" w:id="0"/>
      <w:bookmarkEnd w:id="0"/>
      <w:r w:rsidDel="00000000" w:rsidR="00000000" w:rsidRPr="00000000">
        <w:rPr>
          <w:rtl w:val="0"/>
        </w:rPr>
        <w:t xml:space="preserve">Token cost (June–August 2026)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Original research prose for this path was never committed. Canonical substitute: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docs/reference/2026-jun-aug/04-token-cost-invariants.md</w:t>
        </w:r>
      </w:hyperlink>
      <w:r w:rsidDel="00000000" w:rsidR="00000000" w:rsidRPr="00000000">
        <w:rPr>
          <w:rtl w:val="0"/>
        </w:rPr>
        <w:t xml:space="preserve"> — freeze invariants with evidence citations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src/shared/domain/contextBudget.ts</w:t>
      </w:r>
      <w:r w:rsidDel="00000000" w:rsidR="00000000" w:rsidRPr="00000000">
        <w:rPr>
          <w:rtl w:val="0"/>
        </w:rPr>
        <w:t xml:space="preserve"> — compaction trigger, tools budget, layer shares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tests/shared/tokenCostRegression.invariants.test.ts</w:t>
      </w:r>
      <w:r w:rsidDel="00000000" w:rsidR="00000000" w:rsidRPr="00000000">
        <w:rPr>
          <w:rtl w:val="0"/>
        </w:rPr>
        <w:t xml:space="preserve"> — regression freeze suite (do not weaken without product decision)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./reference/2026-jun-aug/04-token-cost-invariant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