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node_modules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landing/.astro/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landing/.env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Synced from resources/branding by scripts/sync-landing-brand.mjs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landing/public/brand/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landing/public/fonts/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landing/src/assets/providers/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dist-package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dist-package-fresh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dist-package-installer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dist-package-alt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dist-package-alt2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dist-package-final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dist-package-v1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.eslintcache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*.log*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Playwright GUI e2e artifacts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/test-results/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/playwright-report/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Material Icon Theme SVGs (synced from material-icon-theme on postinstall/build)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src/renderer/public/file-icons/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CCE (code-context-engine)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CCE local cache (per-machine, not for version control)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.cce/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Vyotiq local memory (per-workspace, not for version control)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.vyotiq/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Harness apply drafts/backups next to source default.md (not committed)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resources/harness/proposals/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resources/harness/*.bak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resources/harness/*.bak.*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Claude Code local settings written by cce init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.claude/settings.local.json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.mcp.json contains absolute paths regenerated by `cce init`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.mcp.json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Local IDE / agent tooling (machine paths)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.cursor/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.devin/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.tmp/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Transient electron-vite config dumps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electron.vite.config.[0-9]*.mjs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Tree-sitter WASMs (synced from deps on postinstall/build)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resources/codeindex/wasm/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