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ge3ldln61c7" w:id="0"/>
      <w:bookmarkEnd w:id="0"/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The workspace project "VYOTIQ - AGENT V" (at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C:\Users\admin\Documents\VYOTIQ - AGENT V</w:t>
      </w:r>
      <w:r w:rsidDel="00000000" w:rsidR="00000000" w:rsidRPr="00000000">
        <w:rPr>
          <w:rtl w:val="0"/>
        </w:rPr>
        <w:t xml:space="preserve">) is a React + Electron + TypeScript product app — an agent tool — built with Vite, using Tailwind CSS v4 via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@tailwindcss/vite</w:t>
      </w:r>
      <w:r w:rsidDel="00000000" w:rsidR="00000000" w:rsidRPr="00000000">
        <w:rPr>
          <w:rtl w:val="0"/>
        </w:rPr>
        <w:t xml:space="preserve"> plugin with custom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vy-*</w:t>
      </w:r>
      <w:r w:rsidDel="00000000" w:rsidR="00000000" w:rsidRPr="00000000">
        <w:rPr>
          <w:rtl w:val="0"/>
        </w:rPr>
        <w:t xml:space="preserve"> theme tokens, and package-managed by pnpm. Confidence: 0.95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It is a "product / operate" register surface: value comes from consistency and speed for daily operators, so design/motion work should mark state and causality (press, emerge, dismiss, loading, error) rather than decorative choreography; reduced-motion support is expected via a global kill switch. Confidence: 0.8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