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miwcuob4jw1" w:id="0"/>
      <w:bookmarkEnd w:id="0"/>
      <w:r w:rsidDel="00000000" w:rsidR="00000000" w:rsidRPr="00000000">
        <w:rPr>
          <w:rtl w:val="0"/>
        </w:rPr>
        <w:t xml:space="preserve">Harness handbook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Operational reference for the Agent V system harness: prompt assembly, the run-file contract, and the review/apply loop. Audience: maintainers. The harness itself stays short — behavioral policy only — so the run-time and meta-assembly documentation lives here instead.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4aei9waarw36" w:id="1"/>
      <w:bookmarkEnd w:id="1"/>
      <w:r w:rsidDel="00000000" w:rsidR="00000000" w:rsidRPr="00000000">
        <w:rPr>
          <w:rtl w:val="0"/>
        </w:rPr>
        <w:t xml:space="preserve">How the system prompt is assembled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 invoke, the main process assembles the system prompt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src/main/agent/context/assemble.ts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loadHarness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src/main/agent/harness.ts</w:t>
      </w:r>
      <w:r w:rsidDel="00000000" w:rsidR="00000000" w:rsidRPr="00000000">
        <w:rPr>
          <w:rtl w:val="0"/>
        </w:rPr>
        <w:t xml:space="preserve">) prefers the workspace 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 when present and well-formed (non-empty, contains a markdown heading), else the bundled copy, else a one-liner fallback. It is loaded once per invoke, so applied edits take effect on the next invoke / new run, never mid-step.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prefix</w:t>
      </w:r>
      <w:r w:rsidDel="00000000" w:rsidR="00000000" w:rsidRPr="00000000">
        <w:rPr>
          <w:rtl w:val="0"/>
        </w:rPr>
        <w:t xml:space="preserve"> — harness + workspace rules + skills / plugin-rule Level-1 metadata (name + description only, capped shares of the system budget) + run contract + plan. The prefix is fingerprinted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stableSystemFingerprint</w:t>
      </w:r>
      <w:r w:rsidDel="00000000" w:rsidR="00000000" w:rsidRPr="00000000">
        <w:rPr>
          <w:rtl w:val="0"/>
        </w:rPr>
        <w:t xml:space="preserve">) so providers can cache it; OpenAI GPT-5.6+ and Anthropic send explicit cache breakpoints on 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systemZones.ts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section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modeSectionMarkdown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src/main/agent/tools/modePolicy.ts</w:t>
      </w:r>
      <w:r w:rsidDel="00000000" w:rsidR="00000000" w:rsidRPr="00000000">
        <w:rPr>
          <w:rtl w:val="0"/>
        </w:rPr>
        <w:t xml:space="preserve">) contributes the Ask / Plan / Agent overlay that governs which tools are offered this turn; mode-specific tool rules live there, not in the harness.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Volatile suffix</w:t>
      </w:r>
      <w:r w:rsidDel="00000000" w:rsidR="00000000" w:rsidRPr="00000000">
        <w:rPr>
          <w:rtl w:val="0"/>
        </w:rPr>
        <w:t xml:space="preserve"> — per-step data that must not bust the cache: clock, workspace snapshot, memory index/state, loop hints, compaction summary.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gw3ss6hbmzv" w:id="2"/>
      <w:bookmarkEnd w:id="2"/>
      <w:r w:rsidDel="00000000" w:rsidR="00000000" w:rsidRPr="00000000">
        <w:rPr>
          <w:rtl w:val="0"/>
        </w:rPr>
        <w:t xml:space="preserve">What belongs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Behavioral policy only: role, capabilities, tool policy, constraints, work style, memory, output format.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it short and imperative. Per-tool how-to lives in the tool definitions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src/main/agent/schemas/tools.ts</w:t>
      </w:r>
      <w:r w:rsidDel="00000000" w:rsidR="00000000" w:rsidRPr="00000000">
        <w:rPr>
          <w:rtl w:val="0"/>
        </w:rPr>
        <w:t xml:space="preserve">), never duplicated into a harness catalog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tests/main/unit/toolsSchema.test.ts</w:t>
      </w:r>
      <w:r w:rsidDel="00000000" w:rsidR="00000000" w:rsidRPr="00000000">
        <w:rPr>
          <w:rtl w:val="0"/>
        </w:rPr>
        <w:t xml:space="preserve"> enforces this boundary (required sections, no per-tool catalog entries, no runtime-limit essays).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Facts the runtime already enforces — concurrency, serial execution, approval gates — stay out; the harness points at the tool catalog and the mode section for the turn.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Meta-assembly and run-time documentation (this handbook's topics) stays out of the harness too.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ot0ih9liegls" w:id="3"/>
      <w:bookmarkEnd w:id="3"/>
      <w:r w:rsidDel="00000000" w:rsidR="00000000" w:rsidRPr="00000000">
        <w:rPr>
          <w:rtl w:val="0"/>
        </w:rPr>
        <w:t xml:space="preserve">Run-file contract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run persists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{userData}/workspaces/{workspaceId}/sessions/{runId}/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contract.md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contract text (not Keep/Discard checkpointed)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status: step, status, mode, error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Canonical chat transcript — one JSON message per line; the UI rebuilds the timeline from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events.jsonl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Append-only ops log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step_usage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context_usage</w:t>
            </w:r>
            <w:r w:rsidDel="00000000" w:rsidR="00000000" w:rsidRPr="00000000">
              <w:rPr>
                <w:rtl w:val="0"/>
              </w:rPr>
              <w:t xml:space="preserve">, …) with ISO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at</w:t>
            </w:r>
            <w:r w:rsidDel="00000000" w:rsidR="00000000" w:rsidRPr="00000000">
              <w:rPr>
                <w:rtl w:val="0"/>
              </w:rPr>
              <w:t xml:space="preserve"> timestamps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 run summary — the harness-review input (below)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Plan-mode working plan (run artifact, not checkpointed)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receipt.json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Per-run receipt (status, tool stats, failures, contract excerpt)</w:t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receipt.json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RUN_RECEIPT_FILENAME</w:t>
      </w:r>
      <w:r w:rsidDel="00000000" w:rsidR="00000000" w:rsidRPr="00000000">
        <w:rPr>
          <w:rtl w:val="0"/>
        </w:rPr>
        <w:t xml:space="preserve">, written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writeRunReceiptBestEffort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src/main/agent/runReceipt.ts</w:t>
      </w:r>
      <w:r w:rsidDel="00000000" w:rsidR="00000000" w:rsidRPr="00000000">
        <w:rPr>
          <w:rtl w:val="0"/>
        </w:rPr>
        <w:t xml:space="preserve">) captures: run status and step, token usage, compaction count, per-tool call/ok stats, failure clusters, unread-edit paths, written files, diagnostics call counts, and a contract excerpt. It is flushed at step 0, every 5 steps, and once more from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tl w:val="0"/>
        </w:rPr>
        <w:t xml:space="preserve"> at run end — always best-effort, never throwing into the agent loop.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8sfupv7bxhok" w:id="4"/>
      <w:bookmarkEnd w:id="4"/>
      <w:r w:rsidDel="00000000" w:rsidR="00000000" w:rsidRPr="00000000">
        <w:rPr>
          <w:rtl w:val="0"/>
        </w:rPr>
        <w:t xml:space="preserve">Harness review/apply flow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loop is a human review scaffold: receipts are mined into proposals, humans edit and confirm — not unsupervised Self-Harness.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/harness-review</w:t>
      </w:r>
      <w:r w:rsidDel="00000000" w:rsidR="00000000" w:rsidRPr="00000000">
        <w:rPr>
          <w:rtl w:val="0"/>
        </w:rPr>
        <w:t xml:space="preserve"> (slash builtin;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harnessReview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IPC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runHarnessReviewWithSettings</w:t>
      </w:r>
      <w:r w:rsidDel="00000000" w:rsidR="00000000" w:rsidRPr="00000000">
        <w:rPr>
          <w:rtl w:val="0"/>
        </w:rPr>
        <w:t xml:space="preserve">) mines the most recent run receipts (default limit 20) into a weakness summary. Evidence buckets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system_prompt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tool_policy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loop_notices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  <w:t xml:space="preserve">) map each failure mode to the harness section that owns it, with the receipt evidence attached. An optional LLM pass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harnessRewrite.ts</w:t>
      </w:r>
      <w:r w:rsidDel="00000000" w:rsidR="00000000" w:rsidRPr="00000000">
        <w:rPr>
          <w:rtl w:val="0"/>
        </w:rPr>
        <w:t xml:space="preserve">) can rewrite the proposed body.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proposal is written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.vyotiq/harness/proposals/&lt;timestamp&gt;-&lt;id&gt;.md</w:t>
      </w:r>
      <w:r w:rsidDel="00000000" w:rsidR="00000000" w:rsidRPr="00000000">
        <w:rPr>
          <w:rtl w:val="0"/>
        </w:rPr>
        <w:t xml:space="preserve"> containing Evidence, Evidence buckets, Suggested harness edits,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Proposed harness body</w:t>
      </w:r>
      <w:r w:rsidDel="00000000" w:rsidR="00000000" w:rsidRPr="00000000">
        <w:rPr>
          <w:rtl w:val="0"/>
        </w:rPr>
        <w:t xml:space="preserve"> fenced markdown block, and a Validation section.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/harness-apply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harnessApply</w:t>
      </w:r>
      <w:r w:rsidDel="00000000" w:rsidR="00000000" w:rsidRPr="00000000">
        <w:rPr>
          <w:rtl w:val="0"/>
        </w:rPr>
        <w:t xml:space="preserve"> IPC;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harnessPreviewApply</w:t>
      </w:r>
      <w:r w:rsidDel="00000000" w:rsidR="00000000" w:rsidRPr="00000000">
        <w:rPr>
          <w:rtl w:val="0"/>
        </w:rPr>
        <w:t xml:space="preserve"> previews the diff first) applies the latest — or a named — proposal after explicit confirm. Apply writes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resources/harness/default.md</w:t>
      </w:r>
      <w:r w:rsidDel="00000000" w:rsidR="00000000" w:rsidRPr="00000000">
        <w:rPr>
          <w:rtl w:val="0"/>
        </w:rPr>
        <w:t xml:space="preserve">, backs up the previous text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.vyotiq/harness/default.md.bak</w:t>
      </w:r>
      <w:r w:rsidDel="00000000" w:rsidR="00000000" w:rsidRPr="00000000">
        <w:rPr>
          <w:rtl w:val="0"/>
        </w:rPr>
        <w:t xml:space="preserve">, then runs the fixed vitest gate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HARNESS_EVAL_TESTS</w:t>
      </w:r>
      <w:r w:rsidDel="00000000" w:rsidR="00000000" w:rsidRPr="00000000">
        <w:rPr>
          <w:rtl w:val="0"/>
        </w:rPr>
        <w:t xml:space="preserve">, which includes the frozen held-out grader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harnessHeldOutEval.ts</w:t>
      </w:r>
      <w:r w:rsidDel="00000000" w:rsidR="00000000" w:rsidRPr="00000000">
        <w:rPr>
          <w:rtl w:val="0"/>
        </w:rPr>
        <w:t xml:space="preserve"> — it never auto-applies). On gate failure the file is reverted from backup.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Evaluator code, gate tests, and held-out fixtures are outside the apply surface: changing them requires a normal PR, not harness-apply.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