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fzospvgrtfms" w:id="0"/>
      <w:bookmarkEnd w:id="0"/>
      <w:r w:rsidDel="00000000" w:rsidR="00000000" w:rsidRPr="00000000">
        <w:rPr>
          <w:rtl w:val="0"/>
        </w:rPr>
        <w:t xml:space="preserve">June–August 2026 Verified Reference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Durable, evidence-backed reference for Vyotiq Agent V. Synthesized from repo docs, harness, code, and tests only — no speculative guidance.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Snapshot:</w:t>
      </w:r>
      <w:r w:rsidDel="00000000" w:rsidR="00000000" w:rsidRPr="00000000">
        <w:rPr>
          <w:rtl w:val="0"/>
        </w:rPr>
        <w:t xml:space="preserve"> 2026-08-07 · git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9f35b85</w:t>
      </w:r>
      <w:r w:rsidDel="00000000" w:rsidR="00000000" w:rsidRPr="00000000">
        <w:rPr>
          <w:rtl w:val="0"/>
        </w:rPr>
        <w:t xml:space="preserve"> (working tree has uncommitted changes; see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14-codebase-audit-snapshot.md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n3q7x9aqr68s" w:id="1"/>
      <w:bookmarkEnd w:id="1"/>
      <w:r w:rsidDel="00000000" w:rsidR="00000000" w:rsidRPr="00000000">
        <w:rPr>
          <w:rtl w:val="0"/>
        </w:rPr>
        <w:t xml:space="preserve">Scope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Excluded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docs/agent-practices-2026.md</w:t>
            </w:r>
            <w:r w:rsidDel="00000000" w:rsidR="00000000" w:rsidRPr="00000000">
              <w:rPr>
                <w:rtl w:val="0"/>
              </w:rPr>
              <w:t xml:space="preserve">, harness, handbook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External Cursor plans, plugin rules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</w:t>
            </w:r>
            <w:r w:rsidDel="00000000" w:rsidR="00000000" w:rsidRPr="00000000">
              <w:rPr>
                <w:rtl w:val="0"/>
              </w:rPr>
              <w:t xml:space="preserve"> implementation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Global Cursor skills outside repo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Marketplace bundled skills/rules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Unverified third-party docs</w:t>
            </w:r>
          </w:p>
        </w:tc>
      </w:tr>
    </w:tbl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hhnu9lilpyt9" w:id="2"/>
      <w:bookmarkEnd w:id="2"/>
      <w:r w:rsidDel="00000000" w:rsidR="00000000" w:rsidRPr="00000000">
        <w:rPr>
          <w:rtl w:val="0"/>
        </w:rPr>
        <w:t xml:space="preserve">Index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Topic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01-practices-checkpoints.md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Checkpoint semantics, revert surfaces, tool coverage, persistence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02-practices-operations.md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Operational practices, dev launch, verification gate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03-performance-diagnostics.md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Perf tooling, verified UI caps, manual repro matrix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hyperlink r:id="rId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04-token-cost-invariants.md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Freeze invariants (compaction, MCP pin, billed Σ)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hyperlink r:id="rId1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05-harness-and-prompt.md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System prompt assembly, harness policy, review/apply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hyperlink r:id="rId1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06-security-patterns.md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Renderer sandbox, path/URL guards, secrets, write limits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hyperlink r:id="rId1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07-browser-tools.md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browser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WebContentsView</w:t>
            </w:r>
            <w:r w:rsidDel="00000000" w:rsidR="00000000" w:rsidRPr="00000000">
              <w:rPr>
                <w:rtl w:val="0"/>
              </w:rPr>
              <w:t xml:space="preserve">), 13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browser_*</w:t>
            </w:r>
            <w:r w:rsidDel="00000000" w:rsidR="00000000" w:rsidRPr="00000000">
              <w:rPr>
                <w:rtl w:val="0"/>
              </w:rPr>
              <w:t xml:space="preserve"> tools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hyperlink r:id="rId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08-terminal-and-pty.md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</w:t>
            </w:r>
            <w:r w:rsidDel="00000000" w:rsidR="00000000" w:rsidRPr="00000000">
              <w:rPr>
                <w:rtl w:val="0"/>
              </w:rPr>
              <w:t xml:space="preserve"> tool, PTY dock, output caps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hyperlink r:id="rId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09-ipc-and-contracts.md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IPC channels, Zod schemas, preload API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10-ui-ux-patterns.md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Composer, sidebar, dock panels, virtualization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hyperlink r:id="rId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11-marketplace-skills.md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Bundled marketplace skills and rules (supplementary)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12-test-harness.md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Vitest, Playwright gui-e2e, verification commands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hyperlink r:id="rId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13-feature-inventory.md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Tools, providers, panels, modes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hyperlink r:id="rId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14-codebase-audit-snapshot.md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Full audit snapshot, gaps, working-tree delta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hyperlink r:id="rId2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15-architecture.md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Process boundaries, aliases, folder conventions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hyperlink r:id="rId2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16-chat-pane-layout.md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Multi-pane chat layout, capacity, drop zones, resize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hyperlink r:id="rId2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17-composer-dictation-baseline.md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Composer mic dictation baseline, STT IPC, caps</w:t>
            </w:r>
          </w:p>
        </w:tc>
      </w:tr>
    </w:tbl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Canonical short summary: </w:t>
      </w:r>
      <w:hyperlink r:id="rId2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docs/agent-practices-2026.md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fbpyclvp7b4v" w:id="3"/>
      <w:bookmarkEnd w:id="3"/>
      <w:r w:rsidDel="00000000" w:rsidR="00000000" w:rsidRPr="00000000">
        <w:rPr>
          <w:rtl w:val="0"/>
        </w:rPr>
        <w:t xml:space="preserve">Verification gate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Run after doc or code changes: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pnpm typecheck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pnpm test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pnpm lint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b w:val="1"/>
          <w:bCs w:val="1"/>
          <w:rtl w:val="0"/>
        </w:rPr>
        <w:t xml:space="preserve">Baseline (2026-08-07):</w:t>
      </w:r>
      <w:r w:rsidDel="00000000" w:rsidR="00000000" w:rsidRPr="00000000">
        <w:rPr>
          <w:rtl w:val="0"/>
        </w:rPr>
        <w:t xml:space="preserve"> typecheck pass · 263 test files, 2338 passed, 5 skipped · lint pass.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rtl w:val="0"/>
        </w:rPr>
        <w:t xml:space="preserve">Final gate (post-reference docs):</w:t>
      </w:r>
      <w:r w:rsidDel="00000000" w:rsidR="00000000" w:rsidRPr="00000000">
        <w:rPr>
          <w:rtl w:val="0"/>
        </w:rPr>
        <w:t xml:space="preserve"> typecheck pass · 263 test files, 2338 passed, 5 skipped · lint pass.</w:t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aerdg5ow0nz" w:id="4"/>
      <w:bookmarkEnd w:id="4"/>
      <w:r w:rsidDel="00000000" w:rsidR="00000000" w:rsidRPr="00000000">
        <w:rPr>
          <w:rtl w:val="0"/>
        </w:rPr>
        <w:t xml:space="preserve">Maintenance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Land behavior changes in code/tests first, then update the matching topic file.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Every claim must cite a file path or test name in the </w:t>
      </w:r>
      <w:r w:rsidDel="00000000" w:rsidR="00000000" w:rsidRPr="00000000">
        <w:rPr>
          <w:b w:val="1"/>
          <w:bCs w:val="1"/>
          <w:rtl w:val="0"/>
        </w:rPr>
        <w:t xml:space="preserve">Evidence</w:t>
      </w:r>
      <w:r w:rsidDel="00000000" w:rsidR="00000000" w:rsidRPr="00000000">
        <w:rPr>
          <w:rtl w:val="0"/>
        </w:rPr>
        <w:t xml:space="preserve"> section.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Prefer extending an existing topic file over adding new files.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Re-run the verification gate on each update.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Update the snapshot date and git hash in this README when committing reference changes.</w:t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u7jef2gm72f2" w:id="5"/>
      <w:bookmarkEnd w:id="5"/>
      <w:r w:rsidDel="00000000" w:rsidR="00000000" w:rsidRPr="00000000">
        <w:rPr>
          <w:rtl w:val="0"/>
        </w:rPr>
        <w:t xml:space="preserve">Known doc gaps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Referenced path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docs/research/token-cost-jun-aug-2026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Stub pointer → </w:t>
            </w:r>
            <w:hyperlink r:id="rId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04-token-cost-invariants.md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docs/architecture.md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Stub pointer → </w:t>
            </w:r>
            <w:hyperlink r:id="rId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15-architecture.md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./14-codebase-audit-snapshot.md" TargetMode="External"/><Relationship Id="rId22" Type="http://schemas.openxmlformats.org/officeDocument/2006/relationships/hyperlink" Target="http://./16-chat-pane-layout.md" TargetMode="External"/><Relationship Id="rId21" Type="http://schemas.openxmlformats.org/officeDocument/2006/relationships/hyperlink" Target="http://./15-architecture.md" TargetMode="External"/><Relationship Id="rId24" Type="http://schemas.openxmlformats.org/officeDocument/2006/relationships/hyperlink" Target="http://../../agent-practices-2026.md" TargetMode="External"/><Relationship Id="rId23" Type="http://schemas.openxmlformats.org/officeDocument/2006/relationships/hyperlink" Target="http://./17-composer-dictation-baseline.m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./03-performance-diagnostics.md" TargetMode="External"/><Relationship Id="rId26" Type="http://schemas.openxmlformats.org/officeDocument/2006/relationships/hyperlink" Target="http://./15-architecture.md" TargetMode="External"/><Relationship Id="rId25" Type="http://schemas.openxmlformats.org/officeDocument/2006/relationships/hyperlink" Target="http://./04-token-cost-invariants.md" TargetMode="External"/><Relationship Id="rId5" Type="http://schemas.openxmlformats.org/officeDocument/2006/relationships/styles" Target="styles.xml"/><Relationship Id="rId6" Type="http://schemas.openxmlformats.org/officeDocument/2006/relationships/hyperlink" Target="http://./14-codebase-audit-snapshot.md" TargetMode="External"/><Relationship Id="rId7" Type="http://schemas.openxmlformats.org/officeDocument/2006/relationships/hyperlink" Target="http://./01-practices-checkpoints.md" TargetMode="External"/><Relationship Id="rId8" Type="http://schemas.openxmlformats.org/officeDocument/2006/relationships/hyperlink" Target="http://./02-practices-operations.md" TargetMode="External"/><Relationship Id="rId11" Type="http://schemas.openxmlformats.org/officeDocument/2006/relationships/hyperlink" Target="http://./05-harness-and-prompt.md" TargetMode="External"/><Relationship Id="rId10" Type="http://schemas.openxmlformats.org/officeDocument/2006/relationships/hyperlink" Target="http://./04-token-cost-invariants.md" TargetMode="External"/><Relationship Id="rId13" Type="http://schemas.openxmlformats.org/officeDocument/2006/relationships/hyperlink" Target="http://./07-browser-tools.md" TargetMode="External"/><Relationship Id="rId12" Type="http://schemas.openxmlformats.org/officeDocument/2006/relationships/hyperlink" Target="http://./06-security-patterns.md" TargetMode="External"/><Relationship Id="rId15" Type="http://schemas.openxmlformats.org/officeDocument/2006/relationships/hyperlink" Target="http://./09-ipc-and-contracts.md" TargetMode="External"/><Relationship Id="rId14" Type="http://schemas.openxmlformats.org/officeDocument/2006/relationships/hyperlink" Target="http://./08-terminal-and-pty.md" TargetMode="External"/><Relationship Id="rId17" Type="http://schemas.openxmlformats.org/officeDocument/2006/relationships/hyperlink" Target="http://./11-marketplace-skills.md" TargetMode="External"/><Relationship Id="rId16" Type="http://schemas.openxmlformats.org/officeDocument/2006/relationships/hyperlink" Target="http://./10-ui-ux-patterns.md" TargetMode="External"/><Relationship Id="rId19" Type="http://schemas.openxmlformats.org/officeDocument/2006/relationships/hyperlink" Target="http://./13-feature-inventory.md" TargetMode="External"/><Relationship Id="rId18" Type="http://schemas.openxmlformats.org/officeDocument/2006/relationships/hyperlink" Target="http://./12-test-harness.m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