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f69w74l89sa6" w:id="0"/>
      <w:bookmarkEnd w:id="0"/>
      <w:r w:rsidDel="00000000" w:rsidR="00000000" w:rsidRPr="00000000">
        <w:rPr>
          <w:rtl w:val="0"/>
        </w:rPr>
        <w:t xml:space="preserve">Token cost (June–August 2026)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Original research prose for this path was never committed. Canonical substitute: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docs/reference/2026-jun-aug/04-token-cost-invariants.md</w:t>
        </w:r>
      </w:hyperlink>
      <w:r w:rsidDel="00000000" w:rsidR="00000000" w:rsidRPr="00000000">
        <w:rPr>
          <w:rtl w:val="0"/>
        </w:rPr>
        <w:t xml:space="preserve"> — freeze invariants with evidence citations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src/shared/domain/contextBudget.ts</w:t>
      </w:r>
      <w:r w:rsidDel="00000000" w:rsidR="00000000" w:rsidRPr="00000000">
        <w:rPr>
          <w:rtl w:val="0"/>
        </w:rPr>
        <w:t xml:space="preserve"> — compaction trigger, tools budget, layer shares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tests/shared/tokenCostRegression.invariants.test.ts</w:t>
      </w:r>
      <w:r w:rsidDel="00000000" w:rsidR="00000000" w:rsidRPr="00000000">
        <w:rPr>
          <w:rtl w:val="0"/>
        </w:rPr>
        <w:t xml:space="preserve"> — regression freeze suite (do not weaken without product decision)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../reference/2026-jun-aug/04-token-cost-invariants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