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j3dtemebahm" w:id="0"/>
      <w:bookmarkEnd w:id="0"/>
      <w:r w:rsidDel="00000000" w:rsidR="00000000" w:rsidRPr="00000000">
        <w:rPr>
          <w:rtl w:val="0"/>
        </w:rPr>
        <w:t xml:space="preserve">name: accessibility description: Audit and improve UI accessibility: semantic HTML, keyboard navigation, focus, contrast, screen-reader names, and motion preferences. Use when reviewing a11y, fixing WCAG issues, ARIA, keyboard traps, or accessibility bugs.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h68vu4qy6wy" w:id="1"/>
      <w:bookmarkEnd w:id="1"/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w5cner3gjwp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semantic HTML and correct roles before adding ARIA.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full keyboard reachability and visible focus states.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controls accessible names; do not rely on color alone.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text and interactive contrast against WCAG AA when practical.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Honor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</w:t>
      </w:r>
      <w:r w:rsidDel="00000000" w:rsidR="00000000" w:rsidRPr="00000000">
        <w:rPr>
          <w:rtl w:val="0"/>
        </w:rPr>
        <w:t xml:space="preserve"> for non-essential animation.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Announce status and errors (live regions or associated text).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 existing visual design unless redesign is requested.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73gp8xi0yqi" w:id="3"/>
      <w:bookmarkEnd w:id="3"/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widgets need roles, names, and keyboard behavior that match the native control.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hide focus outlines without an equivalent visible focus style.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