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avmj3o33qmr" w:id="0"/>
      <w:bookmarkEnd w:id="0"/>
      <w:r w:rsidDel="00000000" w:rsidR="00000000" w:rsidRPr="00000000">
        <w:rPr>
          <w:rtl w:val="0"/>
        </w:rPr>
        <w:t xml:space="preserve">name: frontend-design description: Design and implement UI layout, hierarchy, motion, and brand-facing screens without generic clutter. Use when building UI, polishing layout, visual hierarchy, landing/hero surfaces, or when the user asks for frontend design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vjdjxl9ik1el" w:id="1"/>
      <w:bookmarkEnd w:id="1"/>
      <w:r w:rsidDel="00000000" w:rsidR="00000000" w:rsidRPr="00000000">
        <w:rPr>
          <w:rtl w:val="0"/>
        </w:rPr>
        <w:t xml:space="preserve">Frontend design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t8r93rxntm4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the existing design system and patterns before inventing new 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One clear job per section; avoid dashboard clutter on non-dashboard surfaces.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purposeful typography and atmosphere on new branded surfaces.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interactions obvious; do not wrap everything in cards or pills.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desktop and mobile layouts both work; check contrast and spacing.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motion sparingly for hierarchy and presence, not decoration.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brand direction or audience is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