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nbpmdajz2ls" w:id="0"/>
      <w:bookmarkEnd w:id="0"/>
      <w:r w:rsidDel="00000000" w:rsidR="00000000" w:rsidRPr="00000000">
        <w:rPr>
          <w:rtl w:val="0"/>
        </w:rPr>
        <w:t xml:space="preserve">name: security-review description: Security-focused review of auth, secrets, injection, XSS, SSRF, path traversal, and data handling. Use when auditing security, reviewing auth/secrets, threat-modeling a change, or when the user asks for a security review.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bpemghrn0pca" w:id="1"/>
      <w:bookmarkEnd w:id="1"/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ss4u1nscl1ya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Prioritize authz/authn gaps, injection, XSS, SSRF, path traversal, and secret leakage.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Trace how untrusted input reaches parsers, shells, SQL, HTML, and network calls.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Flag secrets, tokens, and PII in logs, commits, or client bundles.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 unsafe defaults (open CORS, weak crypto, missing validation).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Suggest concrete mitigations tied to the involved code paths.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Distinguish confirmed issues from speculative risks.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Ask 1–2 clarifying questions only when threat model or trust boundaries are unclear.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