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0569" w14:textId="77777777" w:rsidR="0097365A" w:rsidRPr="0097365A" w:rsidRDefault="0097365A" w:rsidP="0040151F">
      <w:pPr>
        <w:rPr>
          <w:b/>
          <w:bCs/>
          <w:sz w:val="28"/>
          <w:szCs w:val="28"/>
        </w:rPr>
      </w:pPr>
      <w:r w:rsidRPr="0097365A">
        <w:rPr>
          <w:b/>
          <w:bCs/>
          <w:sz w:val="28"/>
          <w:szCs w:val="28"/>
        </w:rPr>
        <w:t>31mers and LLM for Metagenomic Analysis</w:t>
      </w:r>
    </w:p>
    <w:p w14:paraId="7A2BA549" w14:textId="41A6792D" w:rsidR="0097365A" w:rsidRDefault="0097365A" w:rsidP="0040151F">
      <w:r>
        <w:t>2/1/26</w:t>
      </w:r>
    </w:p>
    <w:p w14:paraId="1598276C" w14:textId="77777777" w:rsidR="0097365A" w:rsidRDefault="0097365A" w:rsidP="0040151F"/>
    <w:p w14:paraId="66A8CFFA" w14:textId="77777777" w:rsidR="0097365A" w:rsidRDefault="0097365A" w:rsidP="0097365A">
      <w:r>
        <w:t>A useful way to think about DNA language modeling is to treat each metagenomic sample as a “document,” where the overlapping 31-mers act like the words of that document. When a language model is trained on these tokens, it learns the statistical and biological structure of genomic sequence data (i.e., which motifs tend to occur together, what sequence patterns are typical of certain organisms, and how functional or ecological constraints shape DNA).</w:t>
      </w:r>
    </w:p>
    <w:p w14:paraId="753F9E2E" w14:textId="77777777" w:rsidR="0097365A" w:rsidRDefault="0097365A" w:rsidP="0097365A"/>
    <w:p w14:paraId="24A44E49" w14:textId="77777777" w:rsidR="0097365A" w:rsidRDefault="0097365A" w:rsidP="0097365A">
      <w:r>
        <w:t>In this context, the “language” of a metagenomic sample is understood as the characteristic sequence distribution that reflects the microbial community and its biology. Different environments or organismal compositions produce different k-mer patterns, much like different human languages have distinct vocabularies and grammatical structures. A gut microbiome, a soil community, and a marine metagenome each contain their own sequence “dialect,” driven by the taxa present and the genes they encode.</w:t>
      </w:r>
    </w:p>
    <w:p w14:paraId="4E5C1EDC" w14:textId="77777777" w:rsidR="0097365A" w:rsidRDefault="0097365A" w:rsidP="0097365A"/>
    <w:p w14:paraId="3F18BDAE" w14:textId="6E2B991A" w:rsidR="0097365A" w:rsidRDefault="0097365A" w:rsidP="0097365A">
      <w:r>
        <w:t xml:space="preserve">The most effective way to determine the language of a sample is to use the trained language model itself as a representation engine. Once the model has learned the structure of genomic sequences, the 31-mer tokens from a new sample can be passed through the transformer to extract an embedding (i.e., a fixed-length vector that summarizes the sample’s overall sequence style). This is directly analogous to how multilingual </w:t>
      </w:r>
      <w:r w:rsidRPr="0097365A">
        <w:t>Natural Language Processing</w:t>
      </w:r>
      <w:r>
        <w:t xml:space="preserve"> (</w:t>
      </w:r>
      <w:r>
        <w:t>NLP</w:t>
      </w:r>
      <w:r>
        <w:t>)</w:t>
      </w:r>
      <w:r>
        <w:t xml:space="preserve"> models represent entire documents in a latent space. Samples that share similar biological composition or functional content will cluster near each other in this embedding space, while samples from very different microbial communities will appear farther apart.</w:t>
      </w:r>
    </w:p>
    <w:p w14:paraId="33319B4C" w14:textId="77777777" w:rsidR="0097365A" w:rsidRDefault="0097365A" w:rsidP="0097365A"/>
    <w:p w14:paraId="111F7958" w14:textId="77777777" w:rsidR="0097365A" w:rsidRDefault="0097365A" w:rsidP="0097365A">
      <w:r>
        <w:t>Another complementary approach is to measure how “surprised” the model is by a sample. By computing the perplexity or likelihood of the sample under the trained model, a quantitative novelty score is obtained. Samples that resemble the training distribution will have low perplexity, while samples containing unusual organisms, rare genes, or out-of-domain environments will produce higher perplexity. In this way, perplexity serves as a biological analogue of asking whether a text looks like a familiar language or something unknown.</w:t>
      </w:r>
    </w:p>
    <w:p w14:paraId="7F7EEA6C" w14:textId="77777777" w:rsidR="0097365A" w:rsidRDefault="0097365A" w:rsidP="0097365A"/>
    <w:p w14:paraId="42F4400C" w14:textId="38BD9D2D" w:rsidR="0097365A" w:rsidRDefault="0097365A" w:rsidP="0097365A">
      <w:r>
        <w:t xml:space="preserve">Together, these approaches provide a principled way to define and compare metagenomic languages. Embeddings allow samples to be clustered and classified based on learned genomic structure, while perplexity highlights novelty and divergence. Biologically, these differences correspond to shifts in taxonomic composition, functional gene content, mobile elements such as plasmids, or entirely new microbial lineages. Computationally, they correspond to distinct distributions of </w:t>
      </w:r>
      <w:r>
        <w:t>31</w:t>
      </w:r>
      <w:r>
        <w:t>-mer tokens and long-range dependencies captured by the transformer.</w:t>
      </w:r>
    </w:p>
    <w:p w14:paraId="2F49EE4B" w14:textId="77777777" w:rsidR="0097365A" w:rsidRDefault="0097365A" w:rsidP="0097365A"/>
    <w:p w14:paraId="5C9146D5" w14:textId="4247763B" w:rsidR="001F6C63" w:rsidRDefault="0097365A" w:rsidP="0097365A">
      <w:r>
        <w:t>The best strategy is to treat the trained 31-mer language model as a tool for measuring and organizing metagenomic diversity. The language of a sample becomes its position in the model’s learned representation space, grounded in both statistical structure and biological meaning.</w:t>
      </w:r>
    </w:p>
    <w:sectPr w:rsidR="001F6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1F"/>
    <w:rsid w:val="001F6C63"/>
    <w:rsid w:val="00282468"/>
    <w:rsid w:val="0040151F"/>
    <w:rsid w:val="00510690"/>
    <w:rsid w:val="0097365A"/>
    <w:rsid w:val="009B1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174F"/>
  <w15:chartTrackingRefBased/>
  <w15:docId w15:val="{3D335236-023E-43A9-B386-BE79BEF2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5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5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15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15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15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15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15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5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5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15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15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15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15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15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1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5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5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15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151F"/>
    <w:rPr>
      <w:i/>
      <w:iCs/>
      <w:color w:val="404040" w:themeColor="text1" w:themeTint="BF"/>
    </w:rPr>
  </w:style>
  <w:style w:type="paragraph" w:styleId="ListParagraph">
    <w:name w:val="List Paragraph"/>
    <w:basedOn w:val="Normal"/>
    <w:uiPriority w:val="34"/>
    <w:qFormat/>
    <w:rsid w:val="0040151F"/>
    <w:pPr>
      <w:ind w:left="720"/>
      <w:contextualSpacing/>
    </w:pPr>
  </w:style>
  <w:style w:type="character" w:styleId="IntenseEmphasis">
    <w:name w:val="Intense Emphasis"/>
    <w:basedOn w:val="DefaultParagraphFont"/>
    <w:uiPriority w:val="21"/>
    <w:qFormat/>
    <w:rsid w:val="0040151F"/>
    <w:rPr>
      <w:i/>
      <w:iCs/>
      <w:color w:val="0F4761" w:themeColor="accent1" w:themeShade="BF"/>
    </w:rPr>
  </w:style>
  <w:style w:type="paragraph" w:styleId="IntenseQuote">
    <w:name w:val="Intense Quote"/>
    <w:basedOn w:val="Normal"/>
    <w:next w:val="Normal"/>
    <w:link w:val="IntenseQuoteChar"/>
    <w:uiPriority w:val="30"/>
    <w:qFormat/>
    <w:rsid w:val="0040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51F"/>
    <w:rPr>
      <w:i/>
      <w:iCs/>
      <w:color w:val="0F4761" w:themeColor="accent1" w:themeShade="BF"/>
    </w:rPr>
  </w:style>
  <w:style w:type="character" w:styleId="IntenseReference">
    <w:name w:val="Intense Reference"/>
    <w:basedOn w:val="DefaultParagraphFont"/>
    <w:uiPriority w:val="32"/>
    <w:qFormat/>
    <w:rsid w:val="00401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 Rohwer</dc:creator>
  <cp:keywords/>
  <dc:description/>
  <cp:lastModifiedBy>Forest Rohwer</cp:lastModifiedBy>
  <cp:revision>2</cp:revision>
  <dcterms:created xsi:type="dcterms:W3CDTF">2026-02-01T18:35:00Z</dcterms:created>
  <dcterms:modified xsi:type="dcterms:W3CDTF">2026-02-01T18:40:00Z</dcterms:modified>
</cp:coreProperties>
</file>