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Individualus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ikalingi-paketai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Reikalingi paketai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FirstParagraph"/>
      </w:pPr>
      <w:r>
        <w:t xml:space="preserve">Funkcija laiko eilutės prognozavimo atvaizdavimui, funkciją apsirašiau kitam modeliui, todėl paliksiu ją anglų kalba.</w:t>
      </w:r>
    </w:p>
    <w:p>
      <w:pPr>
        <w:pStyle w:val="SourceCode"/>
      </w:pPr>
      <w:r>
        <w:rPr>
          <w:rStyle w:val="CommentTok"/>
        </w:rPr>
        <w:t xml:space="preserve"># Header ----</w:t>
      </w:r>
      <w:r>
        <w:br/>
      </w:r>
      <w:r>
        <w:rPr>
          <w:rStyle w:val="CommentTok"/>
        </w:rPr>
        <w:t xml:space="preserve"># Details:     Function data inpuits are defined as follows:</w:t>
      </w:r>
      <w:r>
        <w:br/>
      </w:r>
      <w:r>
        <w:rPr>
          <w:rStyle w:val="CommentTok"/>
        </w:rPr>
        <w:t xml:space="preserve">#              fx.dat         = forecast data object with 3 predictive intervals</w:t>
      </w:r>
      <w:r>
        <w:br/>
      </w:r>
      <w:r>
        <w:rPr>
          <w:rStyle w:val="CommentTok"/>
        </w:rPr>
        <w:t xml:space="preserve">#              year           = year from which the time series will be subseted</w:t>
      </w:r>
      <w:r>
        <w:br/>
      </w:r>
      <w:r>
        <w:rPr>
          <w:rStyle w:val="CommentTok"/>
        </w:rPr>
        <w:t xml:space="preserve">#              freq.place     = day / week / month / year from which the time series will be subseted</w:t>
      </w:r>
      <w:r>
        <w:br/>
      </w:r>
      <w:r>
        <w:rPr>
          <w:rStyle w:val="CommentTok"/>
        </w:rPr>
        <w:t xml:space="preserve">#              PI             = logical if predictive intervals are drawn</w:t>
      </w:r>
      <w:r>
        <w:br/>
      </w:r>
      <w:r>
        <w:rPr>
          <w:rStyle w:val="CommentTok"/>
        </w:rPr>
        <w:t xml:space="preserve">#              shade.cols     = character string; 3 shade colors for predictive intervals</w:t>
      </w:r>
      <w:r>
        <w:br/>
      </w:r>
      <w:r>
        <w:rPr>
          <w:rStyle w:val="CommentTok"/>
        </w:rPr>
        <w:t xml:space="preserve">#              line.cols      = character strine; 3 line colors for training, fitted and forecast data</w:t>
      </w:r>
      <w:r>
        <w:br/>
      </w:r>
      <w:r>
        <w:rPr>
          <w:rStyle w:val="CommentTok"/>
        </w:rPr>
        <w:t xml:space="preserve">#              date.breaks    = character string; such as "3 months", "1 year"</w:t>
      </w:r>
      <w:r>
        <w:br/>
      </w:r>
      <w:r>
        <w:rPr>
          <w:rStyle w:val="CommentTok"/>
        </w:rPr>
        <w:t xml:space="preserve">#              data.format    = x-axis date format</w:t>
      </w:r>
      <w:r>
        <w:br/>
      </w:r>
      <w:r>
        <w:rPr>
          <w:rStyle w:val="CommentTok"/>
        </w:rPr>
        <w:t xml:space="preserve">#              main.title     = character string; main plot title</w:t>
      </w:r>
      <w:r>
        <w:br/>
      </w:r>
      <w:r>
        <w:rPr>
          <w:rStyle w:val="CommentTok"/>
        </w:rPr>
        <w:t xml:space="preserve">#              sub.title      = character string; plot sub title</w:t>
      </w:r>
      <w:r>
        <w:br/>
      </w:r>
      <w:r>
        <w:rPr>
          <w:rStyle w:val="CommentTok"/>
        </w:rPr>
        <w:t xml:space="preserve">#              caption        = character string; caption</w:t>
      </w:r>
      <w:r>
        <w:br/>
      </w:r>
      <w:r>
        <w:rPr>
          <w:rStyle w:val="CommentTok"/>
        </w:rPr>
        <w:t xml:space="preserve">#              x.title        = character string; x-axis title</w:t>
      </w:r>
      <w:r>
        <w:br/>
      </w:r>
      <w:r>
        <w:rPr>
          <w:rStyle w:val="CommentTok"/>
        </w:rPr>
        <w:t xml:space="preserve">#              y.title        = character string; y-axis title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##-------------------------------------------------------------------------------------------##</w:t>
      </w:r>
      <w:r>
        <w:br/>
      </w:r>
      <w:r>
        <w:br/>
      </w:r>
      <w:r>
        <w:rPr>
          <w:rStyle w:val="CommentTok"/>
        </w:rPr>
        <w:t xml:space="preserve"># theme for forecast data objects</w:t>
      </w:r>
      <w:r>
        <w:br/>
      </w:r>
      <w:r>
        <w:rPr>
          <w:rStyle w:val="NormalTok"/>
        </w:rPr>
        <w:t xml:space="preserve">theme.fxdat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theme_gdocs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for using ggplot2 for forecast objects</w:t>
      </w:r>
      <w:r>
        <w:br/>
      </w:r>
      <w:r>
        <w:rPr>
          <w:rStyle w:val="NormalTok"/>
        </w:rPr>
        <w:t xml:space="preserve">plot_fx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(fx.dat,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line.cols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shade.cols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 package libraries</w:t>
      </w:r>
      <w:r>
        <w:br/>
      </w:r>
      <w:r>
        <w:rPr>
          <w:rStyle w:val="NormalTok"/>
        </w:rPr>
        <w:t xml:space="preserve">     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attached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attached_pkgs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attached[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, attached)]</w:t>
      </w:r>
      <w:r>
        <w:br/>
      </w:r>
      <w:r>
        <w:rPr>
          <w:rStyle w:val="NormalTok"/>
        </w:rPr>
        <w:t xml:space="preserve">     need_to_attach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pkgs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attached_pkgs))]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(need_to_attach)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(need_to_attach)) {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(need_to_attach[i],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data input testing and formatting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(fx.dat)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 data object required"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(line.cols[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      line.cols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(line.cols)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line.cols not equal to 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pi.levels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  <w:r>
        <w:br/>
      </w:r>
      <w:r>
        <w:rPr>
          <w:rStyle w:val="NormalTok"/>
        </w:rPr>
        <w:t xml:space="preserve">          n.levels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(pi.levels)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(shade.cols)) {</w:t>
      </w:r>
      <w:r>
        <w:br/>
      </w:r>
      <w:r>
        <w:rPr>
          <w:rStyle w:val="NormalTok"/>
        </w:rPr>
        <w:t xml:space="preserve">               shade.cols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(n.levels, </w:t>
      </w:r>
      <w:r>
        <w:rPr>
          <w:rStyle w:val="StringTok"/>
        </w:rPr>
        <w:t xml:space="preserve">"PuBuGn"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(n.levels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(shade.cols)) {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shade.cols not equal to number of predictive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(date.breaks))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"date.breaks to set to '6 months' absent user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date.breaks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define dataframe with training (x), forecast (y) and interval (pi) data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original.ts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freq.place))</w:t>
      </w:r>
      <w:r>
        <w:br/>
      </w:r>
      <w:r>
        <w:rPr>
          <w:rStyle w:val="NormalTok"/>
        </w:rPr>
        <w:t xml:space="preserve">      fitted.ts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freq.place))</w:t>
      </w:r>
      <w:r>
        <w:br/>
      </w:r>
      <w:r>
        <w:rPr>
          <w:rStyle w:val="NormalTok"/>
        </w:rPr>
        <w:t xml:space="preserve">      forecast.ts.mean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      original.dates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date_decimal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(original.ts,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forecast.dates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date_decimal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(forecast.ts.mean,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len.x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(original.ts)</w:t>
      </w:r>
      <w:r>
        <w:br/>
      </w:r>
      <w:r>
        <w:rPr>
          <w:rStyle w:val="NormalTok"/>
        </w:rPr>
        <w:t xml:space="preserve">      len.y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(forecast.ts.mean)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sub.title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 duomenys rodomi nuo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(original.dates)),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(original.dates)),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ir prognozė nuo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(forecast.dates)),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(forecast.dates)),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(original.dates, forecast.dates)),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(original.ts,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len.y)),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(fitted.ts,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len.y)),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forecast.ts.mean),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lo.99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up.99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plot training, fitted and forecast data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fitted,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forecast,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forecast,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date)],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date.breaks),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date.format)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"Prognozės 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"95%"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y.title)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theme.fxdat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Naudosime JAV saldainių gaminimo duomenų imtį.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"candy_production.csv"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 xml:space="preserve">saldainiai =</w:t>
      </w:r>
      <w:r>
        <w:rPr>
          <w:rStyle w:val="NormalTok"/>
        </w:rPr>
        <w:t xml:space="preserve"> IPG3113N)</w:t>
      </w:r>
    </w:p>
    <w:bookmarkEnd w:id="20"/>
    <w:bookmarkStart w:id="21" w:name="užd.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Užd. 1</w:t>
      </w:r>
    </w:p>
    <w:p>
      <w:pPr>
        <w:pStyle w:val="FirstParagraph"/>
      </w:pPr>
      <w:r>
        <w:t xml:space="preserve">Atlikite pirminę duomenų apžvalgą, pašalinkite išskirtis, atsižvelkite į praleistas reikšmes, ir pan.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548</w:t>
      </w:r>
    </w:p>
    <w:p>
      <w:pPr>
        <w:pStyle w:val="FirstParagraph"/>
      </w:pPr>
      <w:r>
        <w:t xml:space="preserve">Duomenų imtis sudaryta iš 548 stebėjimų.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Duomenų imtyje neturime nei vienos praleistos reikšmės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metai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1972    12</w:t>
      </w:r>
      <w:r>
        <w:br/>
      </w:r>
      <w:r>
        <w:rPr>
          <w:rStyle w:val="VerbatimChar"/>
        </w:rPr>
        <w:t xml:space="preserve">## 2  1973    12</w:t>
      </w:r>
      <w:r>
        <w:br/>
      </w:r>
      <w:r>
        <w:rPr>
          <w:rStyle w:val="VerbatimChar"/>
        </w:rPr>
        <w:t xml:space="preserve">## 3  1974    12</w:t>
      </w:r>
      <w:r>
        <w:br/>
      </w:r>
      <w:r>
        <w:rPr>
          <w:rStyle w:val="VerbatimChar"/>
        </w:rPr>
        <w:t xml:space="preserve">## 4  1975    12</w:t>
      </w:r>
      <w:r>
        <w:br/>
      </w:r>
      <w:r>
        <w:rPr>
          <w:rStyle w:val="VerbatimChar"/>
        </w:rPr>
        <w:t xml:space="preserve">## 5  1976    12</w:t>
      </w:r>
      <w:r>
        <w:br/>
      </w:r>
      <w:r>
        <w:rPr>
          <w:rStyle w:val="VerbatimChar"/>
        </w:rPr>
        <w:t xml:space="preserve">## 6  1977    12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metai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2012    12</w:t>
      </w:r>
      <w:r>
        <w:br/>
      </w:r>
      <w:r>
        <w:rPr>
          <w:rStyle w:val="VerbatimChar"/>
        </w:rPr>
        <w:t xml:space="preserve">## 2  2013    12</w:t>
      </w:r>
      <w:r>
        <w:br/>
      </w:r>
      <w:r>
        <w:rPr>
          <w:rStyle w:val="VerbatimChar"/>
        </w:rPr>
        <w:t xml:space="preserve">## 3  2014    12</w:t>
      </w:r>
      <w:r>
        <w:br/>
      </w:r>
      <w:r>
        <w:rPr>
          <w:rStyle w:val="VerbatimChar"/>
        </w:rPr>
        <w:t xml:space="preserve">## 4  2015    12</w:t>
      </w:r>
      <w:r>
        <w:br/>
      </w:r>
      <w:r>
        <w:rPr>
          <w:rStyle w:val="VerbatimChar"/>
        </w:rPr>
        <w:t xml:space="preserve">## 5  2016    12</w:t>
      </w:r>
      <w:r>
        <w:br/>
      </w:r>
      <w:r>
        <w:rPr>
          <w:rStyle w:val="VerbatimChar"/>
        </w:rPr>
        <w:t xml:space="preserve">## 6  2017     8</w:t>
      </w:r>
    </w:p>
    <w:p>
      <w:pPr>
        <w:pStyle w:val="FirstParagraph"/>
      </w:pPr>
      <w:r>
        <w:t xml:space="preserve">Matom, jog turime duomenis nuo 1972 m. iki 2017 m. Visi metai turi po 12 stebėjimų (mėnesiniai duomenys), tik paskutiniai 2017 metai turi 8 stebėjimus.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"Uzd1_boxplot.png"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Stačiakampė diagrama neparodo, jog mūsų duomenyse būtų kokių nors tai išskirčių.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data             saldainiai    </w:t>
      </w:r>
      <w:r>
        <w:br/>
      </w:r>
      <w:r>
        <w:rPr>
          <w:rStyle w:val="VerbatimChar"/>
        </w:rPr>
        <w:t xml:space="preserve">##  Length:548         Min.   : 50.67  </w:t>
      </w:r>
      <w:r>
        <w:br/>
      </w:r>
      <w:r>
        <w:rPr>
          <w:rStyle w:val="VerbatimChar"/>
        </w:rPr>
        <w:t xml:space="preserve">##  Class :character   1st Qu.: 87.86  </w:t>
      </w:r>
      <w:r>
        <w:br/>
      </w:r>
      <w:r>
        <w:rPr>
          <w:rStyle w:val="VerbatimChar"/>
        </w:rPr>
        <w:t xml:space="preserve">##  Mode  :character   Median :102.28  </w:t>
      </w:r>
      <w:r>
        <w:br/>
      </w:r>
      <w:r>
        <w:rPr>
          <w:rStyle w:val="VerbatimChar"/>
        </w:rPr>
        <w:t xml:space="preserve">##                     Mean   :100.66  </w:t>
      </w:r>
      <w:r>
        <w:br/>
      </w:r>
      <w:r>
        <w:rPr>
          <w:rStyle w:val="VerbatimChar"/>
        </w:rPr>
        <w:t xml:space="preserve">##                     3rd Qu.:114.69  </w:t>
      </w:r>
      <w:r>
        <w:br/>
      </w:r>
      <w:r>
        <w:rPr>
          <w:rStyle w:val="VerbatimChar"/>
        </w:rPr>
        <w:t xml:space="preserve">##                     Max.   :139.92</w:t>
      </w:r>
    </w:p>
    <w:p>
      <w:pPr>
        <w:pStyle w:val="FirstParagraph"/>
      </w:pPr>
      <w:r>
        <w:t xml:space="preserve">Mažiausia reikšmė - 50.67, didžiausia - 139.92 Vidurkis ir mediana yra panašūs, atitinkamai 100.66 ir 102.28.</w:t>
      </w:r>
    </w:p>
    <w:bookmarkEnd w:id="21"/>
    <w:bookmarkStart w:id="27" w:name="užd.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Užd. 2</w:t>
      </w:r>
    </w:p>
    <w:bookmarkStart w:id="23" w:name="laiko-eilutė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Laiko eilutė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laiko eilutė"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"Salainių produkcija"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"Uzd2_LaikoEilute.png"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Duomenys akivaizdžiai turi sezoniškumą ir trendą</w:t>
      </w:r>
    </w:p>
    <w:bookmarkEnd w:id="23"/>
    <w:bookmarkStart w:id="24" w:name="autokoreliacinė-funkcij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Autokoreliacinė funkcija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"Uzd2_Autokoreliacine.png"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(saldainiai.ts)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Autokoreliacijos grafikas parodo, jog mūsų laiko eilutė nėra stacionari, kadangi ties visomis lag reikšmėmis viršijame 95% pasikliautinuosius intervalus, kurie nurodo, jog duomenys skiriasi nuo baltojo triukšmo.</w:t>
      </w:r>
    </w:p>
    <w:bookmarkEnd w:id="24"/>
    <w:bookmarkStart w:id="26" w:name="spektrinio-tankio-funkcij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Spektrinio tankio funkcija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"Uzd2_SpektrinioTankio.png"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spectrum</w:t>
      </w:r>
      <w:r>
        <w:rPr>
          <w:rStyle w:val="NormalTok"/>
        </w:rPr>
        <w:t xml:space="preserve">(saldainiai.ts)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Kadangi spektriniame grafike matome</w:t>
      </w:r>
      <w:r>
        <w:t xml:space="preserve"> </w:t>
      </w:r>
      <w:r>
        <w:t xml:space="preserve">“</w:t>
      </w:r>
      <w:r>
        <w:t xml:space="preserve">pikus</w:t>
      </w:r>
      <w:r>
        <w:t xml:space="preserve">”</w:t>
      </w:r>
      <w:r>
        <w:t xml:space="preserve"> </w:t>
      </w:r>
      <w:r>
        <w:t xml:space="preserve">ties 1, 2, 3 ir t.t. dažniais, galime daryti išvadą, jog mūsų duomenyse yra metinis sezoniškumas.</w:t>
      </w:r>
    </w:p>
    <w:p>
      <w:pPr>
        <w:pStyle w:val="BodyText"/>
      </w:pPr>
      <w:r>
        <w:t xml:space="preserve">Pasižiūrime, ar mūsų spėjimas yra teisingas: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 m. - 1992 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"Uzd2_LaikoEilutesSezoniskumas.png"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Akivaizdžiai matome, jog mūsų spėjimas galimai yra tiesa, matosi, jog metai iš metų kartojasi ta pati tendencija.</w:t>
      </w:r>
    </w:p>
    <w:bookmarkEnd w:id="26"/>
    <w:bookmarkEnd w:id="27"/>
    <w:bookmarkStart w:id="29" w:name="užd.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Užd. 3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range.bars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laiko eilutės dekompozicija"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"Duomenys nuo 1972-01 mėn. iki 2017-08 mėn."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"Uzd3_LaikoEilutesDekompozicija.png"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Kaip jau darėmė išvadą prieš tai, duomenyse matomas akivaizdus metinis sezoniškumas. Tą parodo ir dekompozicijos sezoniškumo grafikas.</w:t>
      </w:r>
    </w:p>
    <w:bookmarkEnd w:id="29"/>
    <w:bookmarkStart w:id="51" w:name="užd.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Užd. 4</w:t>
      </w:r>
    </w:p>
    <w:p>
      <w:pPr>
        <w:pStyle w:val="FirstParagraph"/>
      </w:pPr>
      <w:r>
        <w:t xml:space="preserve">Prognozuosime 24 laiko momentus (24 mėnesius).</w:t>
      </w:r>
    </w:p>
    <w:bookmarkStart w:id="36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4.1</w:t>
      </w:r>
    </w:p>
    <w:bookmarkStart w:id="31" w:name="vidurkio-metoda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Vidurkio metodas</w:t>
      </w:r>
    </w:p>
    <w:p>
      <w:pPr>
        <w:pStyle w:val="SourceCode"/>
      </w:pPr>
      <w:r>
        <w:rPr>
          <w:rStyle w:val="NormalTok"/>
        </w:rPr>
        <w:t xml:space="preserve">mean_ts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Gauname vidurkio modelį su vidurkiu: 100.6625241</w:t>
      </w:r>
    </w:p>
    <w:p>
      <w:pPr>
        <w:pStyle w:val="BodyText"/>
      </w:pPr>
      <w:r>
        <w:t xml:space="preserve">Pasižiūrim, kaip atrodo prognozė: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mean_ts,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Vidurkio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"Uzd41_VidurkioMetodas.png"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Kaip matom, modelio prognozė daug ko nesako, kadangi yra paimamas visos laiko eilutės vidurkis. Taip pat, pasikliautinieji intervalai apima labai didelį plotį.</w:t>
      </w:r>
    </w:p>
    <w:bookmarkEnd w:id="31"/>
    <w:bookmarkStart w:id="33" w:name="naivusis-metoda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Naivusis metodas</w:t>
      </w:r>
    </w:p>
    <w:p>
      <w:pPr>
        <w:pStyle w:val="SourceCode"/>
      </w:pPr>
      <w:r>
        <w:rPr>
          <w:rStyle w:val="NormalTok"/>
        </w:rPr>
        <w:t xml:space="preserve">naive_ts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naive_ts,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Naiviuoju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"Uzd41_NaivusisMetodas.png"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Naiviojo metodo prognozė yra tiesiog paskutinė laiko eilutės reikšmė, todėl tolimame horizonte ši prognozė nebus tikslinga, tą parodo ir platėjantis pasikliautinasis intervlas.</w:t>
      </w:r>
    </w:p>
    <w:bookmarkEnd w:id="33"/>
    <w:bookmarkStart w:id="35" w:name="sezoninis-naivusis-metoda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Sezoninis naivusis metodas</w:t>
      </w:r>
    </w:p>
    <w:p>
      <w:pPr>
        <w:pStyle w:val="SourceCode"/>
      </w:pPr>
      <w:r>
        <w:rPr>
          <w:rStyle w:val="NormalTok"/>
        </w:rPr>
        <w:t xml:space="preserve">snaive_ts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snaive_ts,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Sezoniniu Naiviuoju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"Uzd41_SezoninisNaivusisMetodas.png"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Sezoninio naiviojo metodo prognozė galima laikyti daug tikslingesne, tačiau vėl gi, yra atkartojamas paskutinis</w:t>
      </w:r>
      <w:r>
        <w:t xml:space="preserve"> </w:t>
      </w:r>
      <w:r>
        <w:t xml:space="preserve">“</w:t>
      </w:r>
      <w:r>
        <w:t xml:space="preserve">sezonas</w:t>
      </w:r>
      <w:r>
        <w:t xml:space="preserve">”</w:t>
      </w:r>
      <w:r>
        <w:t xml:space="preserve">.</w:t>
      </w:r>
    </w:p>
    <w:bookmarkEnd w:id="35"/>
    <w:bookmarkEnd w:id="36"/>
    <w:bookmarkStart w:id="45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4.2</w:t>
      </w:r>
    </w:p>
    <w:bookmarkStart w:id="38" w:name="paprastasis-eksponentinis-glodinima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Paprastasis eksponentinis glodinimas</w:t>
      </w:r>
    </w:p>
    <w:p>
      <w:pPr>
        <w:pStyle w:val="SourceCode"/>
      </w:pPr>
      <w:r>
        <w:rPr>
          <w:rStyle w:val="NormalTok"/>
        </w:rPr>
        <w:t xml:space="preserve">ses_ts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Paprastojo eksponentinio glodinimo metodo alpha parametro reikšmė: 0.9999, kadangi alpha parametras yra arti 1, todėl didžiausias svoris yra suteikiamas paskutinėms laiko eilutės reikšmėms ir metodas turėtų sutapti su naiviuoju metodu.</w:t>
      </w:r>
    </w:p>
    <w:p>
      <w:pPr>
        <w:pStyle w:val="BodyText"/>
      </w:pPr>
      <w:r>
        <w:t xml:space="preserve">Pradinio suglodintos laiko eilutės vidurkio lygis</w:t>
      </w:r>
      <w:r>
        <w:t xml:space="preserve"> </w:t>
      </w:r>
      <w:r>
        <w:rPr>
          <w:iCs/>
          <w:i/>
        </w:rPr>
        <w:t xml:space="preserve">l_0</w:t>
      </w:r>
      <w:r>
        <w:t xml:space="preserve"> </w:t>
      </w:r>
      <w:r>
        <w:t xml:space="preserve">- 75.9058713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ses_ts,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Paprastuoju Eksponentiniu Glodinimu"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"Uzd42_PaprastatisEksponentinisGlodinimas.png"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Matome, kad metodas sutampa su naiviuoju metodu.</w:t>
      </w:r>
    </w:p>
    <w:bookmarkEnd w:id="38"/>
    <w:bookmarkStart w:id="40" w:name="dvigubas-eksponentinis-glodinima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Dvigubas eksponentinis glodinimas</w:t>
      </w:r>
    </w:p>
    <w:p>
      <w:pPr>
        <w:pStyle w:val="SourceCode"/>
      </w:pPr>
      <w:r>
        <w:rPr>
          <w:rStyle w:val="NormalTok"/>
        </w:rPr>
        <w:t xml:space="preserve">holt_ts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Dvigubo eksponentinio glodinimo metodo alpha parametras = 0.9989008, matom, jog alpha yra arti 1, todėl metodas vėl bus panašus į naivųjį metodą. Trendo glodinimo parametras beta = 1.0000412</w:t>
      </w:r>
      <w:r>
        <w:t xml:space="preserve">^{-4}. Pradinės sąlygos:</w:t>
      </w:r>
      <w:r>
        <w:t xml:space="preserve"> </w:t>
      </w:r>
      <w:r>
        <w:rPr>
          <w:iCs/>
          <w:i/>
        </w:rPr>
        <w:t xml:space="preserve">l_0</w:t>
      </w:r>
      <w:r>
        <w:t xml:space="preserve"> </w:t>
      </w:r>
      <w:r>
        <w:t xml:space="preserve">= 74.4589216 ir</w:t>
      </w:r>
      <w:r>
        <w:t xml:space="preserve"> </w:t>
      </w:r>
      <w:r>
        <w:rPr>
          <w:iCs/>
          <w:i/>
        </w:rPr>
        <w:t xml:space="preserve">b_0</w:t>
      </w:r>
      <w:r>
        <w:t xml:space="preserve"> </w:t>
      </w:r>
      <w:r>
        <w:t xml:space="preserve">= 0.0486155.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holt_ts,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Dvigubu Eksponentiniu Glodinimu"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"Uzd42_DvigubasEksponentinisGoldinimas.png"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Vėlgi, matom jog metodas yra labai panašus į naivųjį metodą.</w:t>
      </w:r>
    </w:p>
    <w:bookmarkEnd w:id="40"/>
    <w:bookmarkStart w:id="42" w:name="holt-winters-sezonini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Holt-Winters sezoninis</w:t>
      </w:r>
    </w:p>
    <w:p>
      <w:pPr>
        <w:pStyle w:val="SourceCode"/>
      </w:pPr>
      <w:r>
        <w:rPr>
          <w:rStyle w:val="NormalTok"/>
        </w:rPr>
        <w:t xml:space="preserve">holtwinters_ts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Holt-Winters sezoninio metodo alpha parametras = 0.557695, matom, jog alpha nėra arti 1, todėl metodas neturėtų būti panašus į naivųjį metodą. Trendo glodinimo parametras beta = 3.3289628</w:t>
      </w:r>
      <w:r>
        <w:t xml:space="preserve">^{-4}, parametro reikšmė yra gana maža, todėl ir prognozėje spartaus trendo nepamatysime. Sezoniškumo glodinimo parametras gamma = 0.2416328.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holtwinters_ts,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Holt-Winters Sezoniniu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"Uzd42_HoltWintersSezoninisMetodas.png"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Matome, jog holt-winters sezoninis metodas iš pirmo žvilgsnio visai neblogai prognozuoja (pateikia adekvatesnią prognozę atsižvelgiančią į sezoniškumą).</w:t>
      </w:r>
    </w:p>
    <w:bookmarkEnd w:id="42"/>
    <w:bookmarkStart w:id="44" w:name="ets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ETS</w:t>
      </w:r>
    </w:p>
    <w:p>
      <w:pPr>
        <w:pStyle w:val="SourceCode"/>
      </w:pPr>
      <w:r>
        <w:rPr>
          <w:rStyle w:val="NormalTok"/>
        </w:rPr>
        <w:t xml:space="preserve">ets_ts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(saldainiai.ts),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ETS metodo parinkti tipai: paklaidos - A, trendo - N, sezoniškumo - A. Parametrų reikšmės: alpha = 0.6057677, gamma = 0.2241423, trendo komponentės neturime, todėl ir beta parametro neturime.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ets_ts,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ETS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"Uzd42_ETSMetodas.png"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Iš esmės, parinktas metodas sutampa su holt-winters metodu, kuriame mūsų trendo parametro reikšmė buvo parinkta labai maža.</w:t>
      </w:r>
    </w:p>
    <w:bookmarkEnd w:id="44"/>
    <w:bookmarkEnd w:id="45"/>
    <w:bookmarkStart w:id="50" w:name="section-2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4.3</w:t>
      </w:r>
    </w:p>
    <w:bookmarkStart w:id="47" w:name="arima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ARIMA</w:t>
      </w:r>
    </w:p>
    <w:p>
      <w:pPr>
        <w:pStyle w:val="SourceCode"/>
      </w:pPr>
      <w:r>
        <w:rPr>
          <w:rStyle w:val="NormalTok"/>
        </w:rPr>
        <w:t xml:space="preserve">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arima_ts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Parinktas arima procesas: ARIMA(3,1,2) su eilėmis: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(arima_ts)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ar1        ar2        ar3        ma1        ma2 </w:t>
      </w:r>
      <w:r>
        <w:br/>
      </w:r>
      <w:r>
        <w:rPr>
          <w:rStyle w:val="VerbatimChar"/>
        </w:rPr>
        <w:t xml:space="preserve">##  1.5387396 -0.6909358 -0.1519496 -1.7721660  0.8862690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arima_ts,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ARIMA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"Uzd43_ArimaMetodas.png"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Matom, jog paprastas arima metodas sugebėjo aptikti sezoniškumą.</w:t>
      </w:r>
    </w:p>
    <w:bookmarkEnd w:id="47"/>
    <w:bookmarkStart w:id="49" w:name="sarima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SARIMA</w:t>
      </w:r>
    </w:p>
    <w:p>
      <w:pPr>
        <w:pStyle w:val="SourceCode"/>
      </w:pPr>
      <w:r>
        <w:rPr>
          <w:rStyle w:val="NormalTok"/>
        </w:rPr>
        <w:t xml:space="preserve">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sarima_ts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Parinktas sarima procesas: ARIMA(2,0,2)(0,1,2)[12] with drift su eilėmis: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(sarima_ts)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ar1          ar2          ma1          ma2         sma1         sma2 </w:t>
      </w:r>
      <w:r>
        <w:br/>
      </w:r>
      <w:r>
        <w:rPr>
          <w:rStyle w:val="VerbatimChar"/>
        </w:rPr>
        <w:t xml:space="preserve">##  0.008923305  0.827347923  0.680406780 -0.266649289 -0.606346560 -0.115289761 </w:t>
      </w:r>
      <w:r>
        <w:br/>
      </w:r>
      <w:r>
        <w:rPr>
          <w:rStyle w:val="VerbatimChar"/>
        </w:rPr>
        <w:t xml:space="preserve">##        drift </w:t>
      </w:r>
      <w:r>
        <w:br/>
      </w:r>
      <w:r>
        <w:rPr>
          <w:rStyle w:val="VerbatimChar"/>
        </w:rPr>
        <w:t xml:space="preserve">##  0.059450663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sarima_ts,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SARIMA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"Uzd43_SarimaMetodas.png"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Sarima metodas aptiko daug stipresnį sezoniškumą, taip pat pasikliautinieji intervalai yra žymiai siauresnis nei Arima metodo.</w:t>
      </w:r>
    </w:p>
    <w:bookmarkEnd w:id="49"/>
    <w:bookmarkEnd w:id="50"/>
    <w:bookmarkEnd w:id="51"/>
    <w:bookmarkStart w:id="54" w:name="užd.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Užd. 5</w:t>
      </w:r>
    </w:p>
    <w:bookmarkStart w:id="53" w:name="neuroniniai-tinklai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Neuroniniai tinklai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(saldainiai.ts)</w:t>
      </w:r>
      <w:r>
        <w:br/>
      </w:r>
      <w:r>
        <w:br/>
      </w:r>
      <w:r>
        <w:rPr>
          <w:rStyle w:val="NormalTok"/>
        </w:rPr>
        <w:t xml:space="preserve">nn_ts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Sukurtas neuroninis tinklas - NNAR(26,1,14)[12], kur P = 1, vadinasi metodas aptiko sezoniškumą, p = 26 ir k = 14.</w:t>
      </w:r>
    </w:p>
    <w:p>
      <w:pPr>
        <w:pStyle w:val="BodyText"/>
      </w:pPr>
      <w:r>
        <w:t xml:space="preserve">Kadangi nnetar() funkcija neapskaičiuoja pasikliautinųjų intervalų, naudosime paprastą eilutės atvaizdavimą:</w:t>
      </w:r>
    </w:p>
    <w:p>
      <w:pPr>
        <w:pStyle w:val="SourceCode"/>
      </w:pPr>
      <w:r>
        <w:rPr>
          <w:rStyle w:val="NormalTok"/>
        </w:rPr>
        <w:t xml:space="preserve">nn_ts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Neuroninių Tinklų metodu"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"Uzd5_NeuroniniuTinkluMetodas.png"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Matom, jog neuroninių tinklu metodas aptiko tiek sezoniškumą, tiek trendą.</w:t>
      </w:r>
    </w:p>
    <w:bookmarkEnd w:id="53"/>
    <w:bookmarkEnd w:id="54"/>
    <w:bookmarkStart w:id="56" w:name="užd.-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Užd. 6</w:t>
      </w:r>
    </w:p>
    <w:p>
      <w:pPr>
        <w:pStyle w:val="FirstParagraph"/>
      </w:pPr>
      <w:r>
        <w:t xml:space="preserve">Išskaidom laiko eilutę į apmokymo ir testavimo imtis</w:t>
      </w:r>
    </w:p>
    <w:p>
      <w:pPr>
        <w:pStyle w:val="SourceCode"/>
      </w:pPr>
      <w:r>
        <w:rPr>
          <w:rStyle w:val="NormalTok"/>
        </w:rPr>
        <w:t xml:space="preserve">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testavimo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Apmokom visus metodus su apmokymo imtimi</w:t>
      </w:r>
    </w:p>
    <w:p>
      <w:pPr>
        <w:pStyle w:val="SourceCode"/>
      </w:pPr>
      <w:r>
        <w:rPr>
          <w:rStyle w:val="NormalTok"/>
        </w:rPr>
        <w:t xml:space="preserve">mean_ts_apmokymo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naive_ts_apmokymo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snaive_ts_apmokymo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holt_ts_apmokymo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holtwinters_ts_apmokymo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ets_ts_apmokymo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(apmokymo),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arima_apmokymo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arima_ts_apmokymo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sarima_apmokymo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sarima_ts_apmokymo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nn_apmokymo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(apmokymo)</w:t>
      </w:r>
      <w:r>
        <w:br/>
      </w:r>
      <w:r>
        <w:rPr>
          <w:rStyle w:val="NormalTok"/>
        </w:rPr>
        <w:t xml:space="preserve">nn_ts_apmokymo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(nn_apmokymo,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Apsirašom apmokytus modelius į vieną list’ą</w:t>
      </w:r>
    </w:p>
    <w:p>
      <w:pPr>
        <w:pStyle w:val="SourceCode"/>
      </w:pPr>
      <w:r>
        <w:rPr>
          <w:rStyle w:val="NormalTok"/>
        </w:rPr>
        <w:t xml:space="preserve">modeliai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naive =</w:t>
      </w:r>
      <w:r>
        <w:rPr>
          <w:rStyle w:val="NormalTok"/>
        </w:rPr>
        <w:t xml:space="preserve"> naive_ts_apmokymo,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snaive =</w:t>
      </w:r>
      <w:r>
        <w:rPr>
          <w:rStyle w:val="NormalTok"/>
        </w:rPr>
        <w:t xml:space="preserve"> snaive_ts_apmokymo,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ses =</w:t>
      </w:r>
      <w:r>
        <w:rPr>
          <w:rStyle w:val="NormalTok"/>
        </w:rPr>
        <w:t xml:space="preserve"> ses_ts_apmokymo,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holt =</w:t>
      </w:r>
      <w:r>
        <w:rPr>
          <w:rStyle w:val="NormalTok"/>
        </w:rPr>
        <w:t xml:space="preserve"> holt_ts_apmokymo,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holtwinters =</w:t>
      </w:r>
      <w:r>
        <w:rPr>
          <w:rStyle w:val="NormalTok"/>
        </w:rPr>
        <w:t xml:space="preserve"> holtwinters_ts_apmokymo,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ets =</w:t>
      </w:r>
      <w:r>
        <w:rPr>
          <w:rStyle w:val="NormalTok"/>
        </w:rPr>
        <w:t xml:space="preserve"> ets_ts_apmokymo,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arima_ts_apmokymo,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sarima =</w:t>
      </w:r>
      <w:r>
        <w:rPr>
          <w:rStyle w:val="NormalTok"/>
        </w:rPr>
        <w:t xml:space="preserve"> sarima_ts_apmokymo,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neuroniniai_tinklai =</w:t>
      </w:r>
      <w:r>
        <w:rPr>
          <w:rStyle w:val="NormalTok"/>
        </w:rPr>
        <w:t xml:space="preserve"> nn_ts_apmokymo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Gaunam tikslumo matus apmokymo ir testavimo imčiai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(modeliai, accuracy,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</w:t>
      </w:r>
      <w:r>
        <w:br/>
      </w: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(Metodas, MAE)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Metodas,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"Imtis"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Imtis,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MAE)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MAE_apmokymo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 set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MAE_testavimo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set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Palyginam metodus: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MAE_apmokymo,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MAE_testavimo,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Metodas,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Metodas))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(Metodas,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(MAE_apmokymo,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(MAE_testavimo,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box.padding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"Naudotų metodų palyginimas pagal MAE naudojant apmokymo ir testavimo imtis"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"Apmokymo imties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"Testavimo imties MAE"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"Uzd6_MetoduPalyginimas.png"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56"/>
    <w:bookmarkStart w:id="58" w:name="užd.-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Užd. 7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(testavimo)){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mean_ts_horizontui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naive_ts_horizontui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snaive_ts_horizontui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ses_ts_horizontui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holt_ts_horizontui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holtwinters_ts_horizontui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ets_ts_horizontui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(apmokymo),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br/>
      </w:r>
      <w:r>
        <w:rPr>
          <w:rStyle w:val="NormalTok"/>
        </w:rPr>
        <w:t xml:space="preserve">   arima_horizontui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arima_ts_horizontui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br/>
      </w:r>
      <w:r>
        <w:rPr>
          <w:rStyle w:val="NormalTok"/>
        </w:rPr>
        <w:t xml:space="preserve">   sarima_horizontui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sarima_ts_horizontui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(sarima_horizontui,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br/>
      </w:r>
      <w:r>
        <w:rPr>
          <w:rStyle w:val="NormalTok"/>
        </w:rPr>
        <w:t xml:space="preserve">   nn_horizontui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(apmokymo)</w:t>
      </w:r>
      <w:r>
        <w:br/>
      </w:r>
      <w:r>
        <w:rPr>
          <w:rStyle w:val="NormalTok"/>
        </w:rPr>
        <w:t xml:space="preserve">   nn_ts_horizontui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(nn_horizontui,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(mean_ts_horizontui,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(naive_ts_horizontui,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snaive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(snaive_ts_horizontui,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(ses_ts_horizontui,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holt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(holt_ts_horizontui,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holtwinters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(holtwinters_ts_horizontui,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(ets_ts_horizontui,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(arima_ts_horizontui,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(sarima_ts_horizontui,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neural_networks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(nn_ts_horizontui,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Atvaizduojam modelių paklaidos priklausomybę nuo prognozavimo trukmės: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Paskutines_Reiksmes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(testavimo)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Modelis,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"Modelių paklaidos (MAE) priklausomybė nuo prognozės trukmės"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"Prognozės trukmė"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Paskutines_Reiksmes),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#theme(legend.position = "none")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"Uzd7_ModeliuPaklaidosPagalPrognTrukme.png"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Galim pastebėti įdomių tendencijų, pavyzdžiui, nors neuroninių tinklų metodas atrodė kaip tiksliausias modelis, jis, kaip matome nėra visiškai stabilus o ir ilguoju periodu jis tampa ne pačiu tiksliausiu.</w:t>
      </w:r>
    </w:p>
    <w:p>
      <w:pPr>
        <w:pStyle w:val="BodyText"/>
      </w:pPr>
      <w:r>
        <w:t xml:space="preserve">ETS ir holt-winters metodai, kurie parodė neblogus rezultatus ir prieš tai, šioje analizėje atrodo kaip geriausi ir stabiliausi metodai, kurie nepriklausomai nuo prognozės trukmės, svyravimų paklaidose didelių neturi.</w:t>
      </w:r>
    </w:p>
    <w:p>
      <w:pPr>
        <w:pStyle w:val="BodyText"/>
      </w:pPr>
      <w:r>
        <w:t xml:space="preserve">Kita vertus, sarima modelis, parodęs irgi gerus tikslumus prieš tai, ilogose prognozėse atrodo visiškai praranda tikslumą. Tuo tarpu arima modelis atrodo stabiliau.</w:t>
      </w:r>
    </w:p>
    <w:bookmarkEnd w:id="58"/>
    <w:bookmarkStart w:id="62" w:name="šaltiniai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Šaltiniai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https://www.kaggle.com/goldens/candy-production-time-series-analysis</w:t>
        </w:r>
      </w:hyperlink>
      <w:r>
        <w:t xml:space="preserve"> </w:t>
      </w:r>
      <w:hyperlink r:id="rId60">
        <w:r>
          <w:rPr>
            <w:rStyle w:val="Hyperlink"/>
          </w:rPr>
          <w:t xml:space="preserve">https://www.kaggle.com/grosvenpaul/eda-and-time-series-modeling</w:t>
        </w:r>
      </w:hyperlink>
      <w:r>
        <w:t xml:space="preserve"> </w:t>
      </w:r>
      <w:hyperlink r:id="rId61">
        <w:r>
          <w:rPr>
            <w:rStyle w:val="Hyperlink"/>
          </w:rPr>
          <w:t xml:space="preserve">https://otexts.com/fpp2/accuracy.html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2" Target="media/rId22.png" /><Relationship Type="http://schemas.openxmlformats.org/officeDocument/2006/relationships/hyperlink" Id="rId61" Target="https://otexts.com/fpp2/accuracy.html" TargetMode="External" /><Relationship Type="http://schemas.openxmlformats.org/officeDocument/2006/relationships/hyperlink" Id="rId59" Target="https://www.kaggle.com/goldens/candy-production-time-series-analysis" TargetMode="External" /><Relationship Type="http://schemas.openxmlformats.org/officeDocument/2006/relationships/hyperlink" Id="rId60" Target="https://www.kaggle.com/grosvenpaul/eda-and-time-series-model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otexts.com/fpp2/accuracy.html" TargetMode="External" /><Relationship Type="http://schemas.openxmlformats.org/officeDocument/2006/relationships/hyperlink" Id="rId59" Target="https://www.kaggle.com/goldens/candy-production-time-series-analysis" TargetMode="External" /><Relationship Type="http://schemas.openxmlformats.org/officeDocument/2006/relationships/hyperlink" Id="rId60" Target="https://www.kaggle.com/grosvenpaul/eda-and-time-series-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Individualus Darbas</dc:title>
  <dc:creator>Vytautas Kraujalis</dc:creator>
  <cp:keywords/>
  <dcterms:created xsi:type="dcterms:W3CDTF">2021-12-14T19:42:01Z</dcterms:created>
  <dcterms:modified xsi:type="dcterms:W3CDTF">2021-12-14T19:42:01Z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2021-12-05</vt:lpwstr>
  </property>
  <property fmtid="{D5CDD505-2E9C-101B-9397-08002B2CF9AE}" pid="3" name="output">
    <vt:lpwstr/>
  </property>
</Properties>
</file>