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rPr>
          <w:b/>
          <w:bCs/>
          <w:color w:val="185C56"/>
          <w:sz w:val="38"/>
          <w:szCs w:val="38"/>
        </w:rPr>
      </w:pPr>
      <w:r>
        <w:rPr>
          <w:rFonts w:ascii="Arial" w:cs="Arial" w:eastAsia="Arial" w:hAnsi="Arial"/>
          <w:b/>
          <w:bCs/>
          <w:color w:val="185C56"/>
          <w:sz w:val="38"/>
          <w:szCs w:val="38"/>
        </w:rPr>
        <w:t xml:space="preserve">DESIGN INTENT</w:t>
      </w:r>
    </w:p>
    <w:p>
      <w:pPr>
        <w:spacing w:after="130"/>
        <w:rPr>
          <w:color w:val="53635F"/>
          <w:sz w:val="19"/>
          <w:szCs w:val="19"/>
        </w:rPr>
      </w:pPr>
      <w:r>
        <w:rPr>
          <w:rFonts w:ascii="Arial" w:cs="Arial" w:eastAsia="Arial" w:hAnsi="Arial"/>
          <w:color w:val="53635F"/>
          <w:sz w:val="19"/>
          <w:szCs w:val="19"/>
        </w:rPr>
        <w:t xml:space="preserve">Single-player | Survival &amp; Resource Management | Portrait 2.5D</w:t>
      </w:r>
    </w:p>
    <w:p>
      <w:pPr>
        <w:keepNext/>
        <w:spacing w:after="55" w:before="130"/>
        <w:rPr>
          <w:b/>
          <w:bCs/>
          <w:color w:val="185C56"/>
          <w:sz w:val="23"/>
          <w:szCs w:val="23"/>
        </w:rPr>
      </w:pPr>
      <w:r>
        <w:rPr>
          <w:rFonts w:ascii="Arial" w:cs="Arial" w:eastAsia="Arial" w:hAnsi="Arial"/>
          <w:b/>
          <w:bCs/>
          <w:color w:val="185C56"/>
          <w:sz w:val="23"/>
          <w:szCs w:val="23"/>
        </w:rPr>
        <w:t xml:space="preserve">Players and Premise</w:t>
      </w:r>
    </w:p>
    <w:p>
      <w:pPr>
        <w:spacing w:after="90" w:line="252"/>
      </w:pPr>
      <w:r>
        <w:rPr>
          <w:rFonts w:ascii="Arial" w:cs="Arial" w:eastAsia="Arial" w:hAnsi="Arial"/>
        </w:rPr>
        <w:t xml:space="preserve">For mobile players who enjoy short survival sessions, supernatural mysteries, and skill-based challenges. Portrait touch controls and readable 2.5D scenes make the game approachable, while enemy patterns and limited daytime create room for mastery.</w:t>
      </w:r>
    </w:p>
    <w:p>
      <w:pPr>
        <w:spacing w:after="90" w:line="252"/>
      </w:pPr>
      <w:r>
        <w:rPr>
          <w:rFonts w:ascii="Arial" w:cs="Arial" w:eastAsia="Arial" w:hAnsi="Arial"/>
        </w:rPr>
        <w:t xml:space="preserve">A young person is separated from their physical body, which remains safe in Grandma's house. Grandma discovers a ritual that can restore the connection using three special stones. The tone is magical and slightly eerie, without gore or explicit death.</w:t>
      </w:r>
    </w:p>
    <w:p>
      <w:pPr>
        <w:keepNext/>
        <w:spacing w:after="55" w:before="130"/>
        <w:rPr>
          <w:b/>
          <w:bCs/>
          <w:color w:val="185C56"/>
          <w:sz w:val="23"/>
          <w:szCs w:val="23"/>
        </w:rPr>
      </w:pPr>
      <w:r>
        <w:rPr>
          <w:rFonts w:ascii="Arial" w:cs="Arial" w:eastAsia="Arial" w:hAnsi="Arial"/>
          <w:b/>
          <w:bCs/>
          <w:color w:val="185C56"/>
          <w:sz w:val="23"/>
          <w:szCs w:val="23"/>
        </w:rPr>
        <w:t xml:space="preserve">Current Prototype</w:t>
      </w:r>
    </w:p>
    <w:p>
      <w:pPr>
        <w:spacing w:after="90" w:line="252"/>
      </w:pPr>
      <w:r>
        <w:rPr>
          <w:rFonts w:ascii="Arial" w:cs="Arial" w:eastAsia="Arial" w:hAnsi="Arial"/>
        </w:rPr>
        <w:t xml:space="preserve">The playable prototype connects a basement ritual arena, home lobby, travel map, spirit shop, and circus challenge. At night, the player defends one shared Body Connection meter: attacks on the soul or ritual weaken the same bond. The opening night introduces combat; later nights add pressure. Four ghost behaviors are implemented. Ghosts award Soul Coins, and connection health resets after each night or retry.</w:t>
      </w:r>
    </w:p>
    <w:p>
      <w:pPr>
        <w:spacing w:after="90" w:line="252"/>
      </w:pPr>
      <w:r>
        <w:rPr>
          <w:rFonts w:ascii="Arial" w:cs="Arial" w:eastAsia="Arial" w:hAnsi="Arial"/>
        </w:rPr>
        <w:t xml:space="preserve">During the day, the shop grants a temporary Human Form Card. The circus tests movement and jump timing as the player avoids bars and collects four stone parts. Story panels introduce both the world and ringmaster. Three upgrade cards are displayed but remain locked. Development uses AI assistance for planning, code, and iteration, documented in the build log.</w:t>
      </w:r>
    </w:p>
    <w:p>
      <w:pPr>
        <w:keepNext/>
        <w:spacing w:after="55" w:before="130"/>
        <w:rPr>
          <w:b/>
          <w:bCs/>
          <w:color w:val="185C56"/>
          <w:sz w:val="23"/>
          <w:szCs w:val="23"/>
        </w:rPr>
      </w:pPr>
      <w:r>
        <w:rPr>
          <w:rFonts w:ascii="Arial" w:cs="Arial" w:eastAsia="Arial" w:hAnsi="Arial"/>
          <w:b/>
          <w:bCs/>
          <w:color w:val="185C56"/>
          <w:sz w:val="23"/>
          <w:szCs w:val="23"/>
        </w:rPr>
        <w:t xml:space="preserve">Future-State Vision</w:t>
      </w:r>
    </w:p>
    <w:p>
      <w:pPr>
        <w:spacing w:after="90" w:line="252"/>
      </w:pPr>
      <w:r>
        <w:rPr>
          <w:rFonts w:ascii="Arial" w:cs="Arial" w:eastAsia="Arial" w:hAnsi="Arial"/>
        </w:rPr>
        <w:t xml:space="preserve">The future version expands the three-stone journey. Each stone offers a different activity, encouraging exploration rather than repeating the same task. These acquisition paths and the complete ritual ending are planned, not all implemented.</w:t>
      </w:r>
    </w:p>
    <w:tbl>
      <w:tblPr>
        <w:tblW w:type="pct" w:w="100%"/>
        <w:tblBorders>
          <w:top w:val="single" w:color="D8E2DF" w:sz="4"/>
          <w:left w:val="single" w:color="D8E2DF" w:sz="4"/>
          <w:bottom w:val="single" w:color="D8E2DF" w:sz="4"/>
          <w:right w:val="single" w:color="D8E2DF" w:sz="4"/>
          <w:insideH w:val="single" w:color="D8E2DF" w:sz="4"/>
          <w:insideV w:val="single" w:color="D8E2DF" w:sz="4"/>
        </w:tblBorders>
        <w:tblCellMar>
          <w:top w:type="dxa" w:w="70"/>
          <w:left w:type="dxa" w:w="110"/>
          <w:bottom w:type="dxa" w:w="70"/>
          <w:right w:type="dxa" w:w="110"/>
        </w:tblCellMar>
      </w:tblPr>
      <w:tblGrid>
        <w:gridCol w:w="1650"/>
        <w:gridCol w:w="8556"/>
      </w:tblGrid>
      <w:tr>
        <w:trPr>
          <w:tblHeader/>
        </w:trPr>
        <w:tc>
          <w:tcPr>
            <w:tcW w:type="dxa" w:w="1650"/>
            <w:shd w:fill="185C56"/>
          </w:tcPr>
          <w:p>
            <w:pPr>
              <w:spacing w:after="90" w:line="252"/>
              <w:jc w:val="center"/>
              <w:rPr>
                <w:b/>
                <w:bCs/>
                <w:color w:val="FFFFFF"/>
                <w:sz w:val="20"/>
                <w:szCs w:val="20"/>
              </w:rPr>
            </w:pPr>
            <w:r>
              <w:rPr>
                <w:rFonts w:ascii="Arial" w:cs="Arial" w:eastAsia="Arial" w:hAnsi="Arial"/>
                <w:b/>
                <w:bCs/>
                <w:color w:val="FFFFFF"/>
                <w:sz w:val="20"/>
                <w:szCs w:val="20"/>
              </w:rPr>
              <w:t xml:space="preserve">Stone</w:t>
            </w:r>
          </w:p>
        </w:tc>
        <w:tc>
          <w:tcPr>
            <w:tcW w:type="dxa" w:w="8556"/>
            <w:shd w:fill="185C56"/>
          </w:tcPr>
          <w:p>
            <w:pPr>
              <w:spacing w:after="90" w:line="252"/>
              <w:rPr>
                <w:b/>
                <w:bCs/>
                <w:color w:val="FFFFFF"/>
                <w:sz w:val="20"/>
                <w:szCs w:val="20"/>
              </w:rPr>
            </w:pPr>
            <w:r>
              <w:rPr>
                <w:rFonts w:ascii="Arial" w:cs="Arial" w:eastAsia="Arial" w:hAnsi="Arial"/>
                <w:b/>
                <w:bCs/>
                <w:color w:val="FFFFFF"/>
                <w:sz w:val="20"/>
                <w:szCs w:val="20"/>
              </w:rPr>
              <w:t xml:space="preserve">How to Get It | Future Version</w:t>
            </w:r>
          </w:p>
        </w:tc>
      </w:tr>
      <w:tr>
        <w:trPr>
          <w:cantSplit/>
        </w:trPr>
        <w:tc>
          <w:tcPr>
            <w:tcW w:type="dxa" w:w="1650"/>
            <w:vAlign w:val="center"/>
          </w:tcPr>
          <w:p>
            <w:pPr>
              <w:spacing w:after="30" w:before="20"/>
              <w:jc w:val="center"/>
            </w:pPr>
            <w:r>
              <w:drawing>
                <wp:inline distT="0" distB="0" distL="0" distR="0">
                  <wp:extent cx="647700" cy="647700"/>
                  <wp:effectExtent t="0" r="0" b="0" l="0"/>
                  <wp:docPr id="1" name="Stone 1" descr="Challenge: Circus" title="Sto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7700" cy="647700"/>
                          </a:xfrm>
                          <a:prstGeom prst="rect">
                            <a:avLst/>
                          </a:prstGeom>
                        </pic:spPr>
                      </pic:pic>
                    </a:graphicData>
                  </a:graphic>
                </wp:inline>
              </w:drawing>
            </w:r>
          </w:p>
          <w:p>
            <w:pPr>
              <w:spacing w:after="20"/>
              <w:jc w:val="center"/>
              <w:rPr>
                <w:b/>
                <w:bCs/>
                <w:color w:val="185C56"/>
                <w:sz w:val="18"/>
                <w:szCs w:val="18"/>
              </w:rPr>
            </w:pPr>
            <w:r>
              <w:rPr>
                <w:rFonts w:ascii="Arial" w:cs="Arial" w:eastAsia="Arial" w:hAnsi="Arial"/>
                <w:b/>
                <w:bCs/>
                <w:color w:val="185C56"/>
                <w:sz w:val="18"/>
                <w:szCs w:val="18"/>
              </w:rPr>
              <w:t xml:space="preserve">Stone 1</w:t>
            </w:r>
          </w:p>
        </w:tc>
        <w:tc>
          <w:tcPr>
            <w:tcW w:type="dxa" w:w="8556"/>
            <w:shd w:fill="F3F6F5"/>
            <w:vAlign w:val="center"/>
          </w:tcPr>
          <w:p>
            <w:pPr>
              <w:keepNext/>
              <w:spacing w:after="45"/>
              <w:rPr>
                <w:b/>
                <w:bCs/>
                <w:color w:val="185C56"/>
                <w:sz w:val="21"/>
                <w:szCs w:val="21"/>
              </w:rPr>
            </w:pPr>
            <w:r>
              <w:rPr>
                <w:rFonts w:ascii="Arial" w:cs="Arial" w:eastAsia="Arial" w:hAnsi="Arial"/>
                <w:b/>
                <w:bCs/>
                <w:color w:val="185C56"/>
                <w:sz w:val="21"/>
                <w:szCs w:val="21"/>
              </w:rPr>
              <w:t xml:space="preserve">Challenge: Circus</w:t>
            </w:r>
          </w:p>
          <w:p>
            <w:pPr>
              <w:spacing w:after="30" w:line="240"/>
              <w:rPr>
                <w:sz w:val="20"/>
                <w:szCs w:val="20"/>
              </w:rPr>
            </w:pPr>
            <w:r>
              <w:rPr>
                <w:rFonts w:ascii="Arial" w:cs="Arial" w:eastAsia="Arial" w:hAnsi="Arial"/>
                <w:sz w:val="20"/>
                <w:szCs w:val="20"/>
              </w:rPr>
              <w:t xml:space="preserve">Complete the ringmaster's challenge by dodging obstacles and collecting four stone parts. Reassemble the parts to earn the first ritual stone.</w:t>
            </w:r>
          </w:p>
        </w:tc>
      </w:tr>
      <w:tr>
        <w:trPr>
          <w:cantSplit/>
        </w:trPr>
        <w:tc>
          <w:tcPr>
            <w:tcW w:type="dxa" w:w="1650"/>
            <w:vAlign w:val="center"/>
          </w:tcPr>
          <w:p>
            <w:pPr>
              <w:spacing w:after="30" w:before="20"/>
              <w:jc w:val="center"/>
            </w:pPr>
            <w:r>
              <w:drawing>
                <wp:inline distT="0" distB="0" distL="0" distR="0">
                  <wp:extent cx="647700" cy="647700"/>
                  <wp:effectExtent t="0" r="0" b="0" l="0"/>
                  <wp:docPr id="1" name="Stone 2" descr="Explore and Craft" title="Sto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 cy="647700"/>
                          </a:xfrm>
                          <a:prstGeom prst="rect">
                            <a:avLst/>
                          </a:prstGeom>
                        </pic:spPr>
                      </pic:pic>
                    </a:graphicData>
                  </a:graphic>
                </wp:inline>
              </w:drawing>
            </w:r>
          </w:p>
          <w:p>
            <w:pPr>
              <w:spacing w:after="20"/>
              <w:jc w:val="center"/>
              <w:rPr>
                <w:b/>
                <w:bCs/>
                <w:color w:val="185C56"/>
                <w:sz w:val="18"/>
                <w:szCs w:val="18"/>
              </w:rPr>
            </w:pPr>
            <w:r>
              <w:rPr>
                <w:rFonts w:ascii="Arial" w:cs="Arial" w:eastAsia="Arial" w:hAnsi="Arial"/>
                <w:b/>
                <w:bCs/>
                <w:color w:val="185C56"/>
                <w:sz w:val="18"/>
                <w:szCs w:val="18"/>
              </w:rPr>
              <w:t xml:space="preserve">Stone 2</w:t>
            </w:r>
          </w:p>
        </w:tc>
        <w:tc>
          <w:tcPr>
            <w:tcW w:type="dxa" w:w="8556"/>
            <w:shd w:fill="FFFFFF"/>
            <w:vAlign w:val="center"/>
          </w:tcPr>
          <w:p>
            <w:pPr>
              <w:keepNext/>
              <w:spacing w:after="45"/>
              <w:rPr>
                <w:b/>
                <w:bCs/>
                <w:color w:val="185C56"/>
                <w:sz w:val="21"/>
                <w:szCs w:val="21"/>
              </w:rPr>
            </w:pPr>
            <w:r>
              <w:rPr>
                <w:rFonts w:ascii="Arial" w:cs="Arial" w:eastAsia="Arial" w:hAnsi="Arial"/>
                <w:b/>
                <w:bCs/>
                <w:color w:val="185C56"/>
                <w:sz w:val="21"/>
                <w:szCs w:val="21"/>
              </w:rPr>
              <w:t xml:space="preserve">Explore and Craft</w:t>
            </w:r>
          </w:p>
          <w:p>
            <w:pPr>
              <w:spacing w:after="30" w:line="240"/>
              <w:rPr>
                <w:sz w:val="20"/>
                <w:szCs w:val="20"/>
              </w:rPr>
            </w:pPr>
            <w:r>
              <w:rPr>
                <w:rFonts w:ascii="Arial" w:cs="Arial" w:eastAsia="Arial" w:hAnsi="Arial"/>
                <w:sz w:val="20"/>
                <w:szCs w:val="20"/>
              </w:rPr>
              <w:t xml:space="preserve">Get a stone recipe from the shop. Explore a gathering area, break rocks, cut specific plants, and collect soul energy. Combine these ingredients to craft a marble stone.</w:t>
            </w:r>
          </w:p>
        </w:tc>
      </w:tr>
      <w:tr>
        <w:trPr>
          <w:cantSplit/>
        </w:trPr>
        <w:tc>
          <w:tcPr>
            <w:tcW w:type="dxa" w:w="1650"/>
            <w:vAlign w:val="center"/>
          </w:tcPr>
          <w:p>
            <w:pPr>
              <w:spacing w:after="30" w:before="20"/>
              <w:jc w:val="center"/>
            </w:pPr>
            <w:r>
              <w:drawing>
                <wp:inline distT="0" distB="0" distL="0" distR="0">
                  <wp:extent cx="647700" cy="647700"/>
                  <wp:effectExtent t="0" r="0" b="0" l="0"/>
                  <wp:docPr id="1" name="Stone 3" descr="Trade with a Greedy Owner" title="Sto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 cy="647700"/>
                          </a:xfrm>
                          <a:prstGeom prst="rect">
                            <a:avLst/>
                          </a:prstGeom>
                        </pic:spPr>
                      </pic:pic>
                    </a:graphicData>
                  </a:graphic>
                </wp:inline>
              </w:drawing>
            </w:r>
          </w:p>
          <w:p>
            <w:pPr>
              <w:spacing w:after="20"/>
              <w:jc w:val="center"/>
              <w:rPr>
                <w:b/>
                <w:bCs/>
                <w:color w:val="185C56"/>
                <w:sz w:val="18"/>
                <w:szCs w:val="18"/>
              </w:rPr>
            </w:pPr>
            <w:r>
              <w:rPr>
                <w:rFonts w:ascii="Arial" w:cs="Arial" w:eastAsia="Arial" w:hAnsi="Arial"/>
                <w:b/>
                <w:bCs/>
                <w:color w:val="185C56"/>
                <w:sz w:val="18"/>
                <w:szCs w:val="18"/>
              </w:rPr>
              <w:t xml:space="preserve">Stone 3</w:t>
            </w:r>
          </w:p>
        </w:tc>
        <w:tc>
          <w:tcPr>
            <w:tcW w:type="dxa" w:w="8556"/>
            <w:shd w:fill="F3F6F5"/>
            <w:vAlign w:val="center"/>
          </w:tcPr>
          <w:p>
            <w:pPr>
              <w:keepNext/>
              <w:spacing w:after="45"/>
              <w:rPr>
                <w:b/>
                <w:bCs/>
                <w:color w:val="185C56"/>
                <w:sz w:val="21"/>
                <w:szCs w:val="21"/>
              </w:rPr>
            </w:pPr>
            <w:r>
              <w:rPr>
                <w:rFonts w:ascii="Arial" w:cs="Arial" w:eastAsia="Arial" w:hAnsi="Arial"/>
                <w:b/>
                <w:bCs/>
                <w:color w:val="185C56"/>
                <w:sz w:val="21"/>
                <w:szCs w:val="21"/>
              </w:rPr>
              <w:t xml:space="preserve">Trade with a Greedy Owner</w:t>
            </w:r>
          </w:p>
          <w:p>
            <w:pPr>
              <w:spacing w:after="30" w:line="240"/>
              <w:rPr>
                <w:sz w:val="20"/>
                <w:szCs w:val="20"/>
              </w:rPr>
            </w:pPr>
            <w:r>
              <w:rPr>
                <w:rFonts w:ascii="Arial" w:cs="Arial" w:eastAsia="Arial" w:hAnsi="Arial"/>
                <w:sz w:val="20"/>
                <w:szCs w:val="20"/>
              </w:rPr>
              <w:t xml:space="preserve">Meet an owner who demands a high Soul Coin payment or a specific kind of soul energy collected at night. Prepare, hunt the required ghosts, and trade for the final stone.</w:t>
            </w:r>
          </w:p>
        </w:tc>
      </w:tr>
    </w:tbl>
    <w:p>
      <w:pPr>
        <w:spacing w:after="0" w:before="130" w:line="252"/>
      </w:pPr>
      <w:r>
        <w:rPr>
          <w:rFonts w:ascii="Arial" w:cs="Arial" w:eastAsia="Arial" w:hAnsi="Arial"/>
        </w:rPr>
        <w:t xml:space="preserve">Daytime choices prepare the player for nighttime danger. Earned stones remain collected after a failed night. Completing three stones and three candles restores the spirit-body connection and gives a clear ending. The priority is one polished, repeatable survival loop, with new areas adding distinct decisions.</w:t>
      </w:r>
    </w:p>
    <w:sectPr>
      <w:pgSz w:w="11906" w:h="16838" w:orient="portrait"/>
      <w:pgMar w:top="720" w:right="850" w:bottom="7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02B29"/>
        <w:sz w:val="21"/>
        <w:szCs w:val="21"/>
      </w:rPr>
    </w:rPrDefault>
    <w:pPrDefault>
      <w:pPr>
        <w:spacing w:after="90" w:line="25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51d1254e891219dfc6e65ca52b9f7b0a4c0ac8f.png"/><Relationship Id="rId8" Type="http://schemas.openxmlformats.org/officeDocument/2006/relationships/image" Target="media/1f4321a7810711434cf49a4b50f11f57e3fd1d64.png"/><Relationship Id="rId9" Type="http://schemas.openxmlformats.org/officeDocument/2006/relationships/image" Target="media/0d30f43b8e90b958035801d4c74c3aa506cb8d9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Intent - Spirit-Separation Survival Prototype</dc:title>
  <dc:creator>Meta-Game</dc:creator>
  <dc:description>Current prototype and future three-stone progression.</dc:description>
  <cp:lastModifiedBy>Un-named</cp:lastModifiedBy>
  <cp:revision>1</cp:revision>
  <dcterms:created xsi:type="dcterms:W3CDTF">2026-09-08T15:25:36.936Z</dcterms:created>
  <dcterms:modified xsi:type="dcterms:W3CDTF">2026-09-08T15:25:36.937Z</dcterms:modified>
</cp:coreProperties>
</file>

<file path=docProps/custom.xml><?xml version="1.0" encoding="utf-8"?>
<Properties xmlns="http://schemas.openxmlformats.org/officeDocument/2006/custom-properties" xmlns:vt="http://schemas.openxmlformats.org/officeDocument/2006/docPropsVTypes"/>
</file>