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20"/>
      </w:pPr>
      <w:r>
        <w:t xml:space="preserve">Pranor Auth</w:t>
      </w:r>
    </w:p>
    <w:p>
      <w:pPr>
        <w:spacing w:after="300"/>
      </w:pPr>
      <w:r>
        <w:rPr>
          <w:b/>
          <w:bCs/>
          <w:color w:val="0D9488"/>
          <w:sz w:val="28"/>
          <w:szCs w:val="28"/>
        </w:rPr>
        <w:t xml:space="preserve">Zero-Trust Identity Engine &amp; SPIFFE/SPIRE Workload Identity</w:t>
      </w:r>
    </w:p>
    <w:p>
      <w:pPr>
        <w:spacing w:after="120" w:before="200"/>
      </w:pPr>
      <w:r>
        <w:rPr>
          <w:b/>
          <w:bCs/>
          <w:color w:val="1E3A8A"/>
          <w:sz w:val="24"/>
          <w:szCs w:val="24"/>
        </w:rPr>
        <w:t xml:space="preserve">Executive Summary &amp; Architecture Overview</w:t>
      </w:r>
    </w:p>
    <w:p>
      <w:pPr>
        <w:spacing w:after="300"/>
      </w:pPr>
      <w:r>
        <w:t xml:space="preserve">Pranor Auth is an enterprise identity and access management service built for zero-trust architectures. It supports OIDC, SAML 2.0, OAuth2, and workload identity via SPIFFE/SPIRE x509 SVIDs.</w:t>
      </w:r>
    </w:p>
    <w:p>
      <w:pPr>
        <w:spacing w:after="120" w:before="200"/>
      </w:pPr>
      <w:r>
        <w:rPr>
          <w:b/>
          <w:bCs/>
          <w:color w:val="1E3A8A"/>
          <w:sz w:val="24"/>
          <w:szCs w:val="24"/>
        </w:rPr>
        <w:t xml:space="preserve">Detailed Component Specifications</w:t>
      </w:r>
    </w:p>
    <w:p>
      <w:pPr>
        <w:spacing w:after="60" w:before="120"/>
      </w:pPr>
      <w:r>
        <w:rPr>
          <w:b/>
          <w:bCs/>
          <w:color w:val="1F2937"/>
          <w:sz w:val="20"/>
          <w:szCs w:val="20"/>
        </w:rPr>
        <w:t xml:space="preserve">Zero-Trust Workload Identity &amp; SPIFFE/SPIRE (EE.86.2)</w:t>
      </w:r>
    </w:p>
    <w:p>
      <w:pPr>
        <w:spacing w:after="180"/>
      </w:pPr>
      <w:r>
        <w:t xml:space="preserve">Automated issuance and short-lived rotation of SPIFFE x509 SVID credentials for machine-to-machine mutual TLS authentication.</w:t>
      </w:r>
    </w:p>
    <w:p>
      <w:pPr>
        <w:spacing w:after="60" w:before="120"/>
      </w:pPr>
      <w:r>
        <w:rPr>
          <w:b/>
          <w:bCs/>
          <w:color w:val="1F2937"/>
          <w:sz w:val="20"/>
          <w:szCs w:val="20"/>
        </w:rPr>
        <w:t xml:space="preserve">Federated Enterprise IdP Mapper (EE.85.19)</w:t>
      </w:r>
    </w:p>
    <w:p>
      <w:pPr>
        <w:spacing w:after="180"/>
      </w:pPr>
      <w:r>
        <w:t xml:space="preserve">Seamless SAML 2.0 and OIDC identity mapping connecting Okta, Azure AD, and Keycloak with granular RBAC/ABAC policies.</w:t>
      </w:r>
    </w:p>
    <w:p>
      <w:pPr>
        <w:spacing w:after="180" w:before="300"/>
      </w:pPr>
      <w:r>
        <w:rPr>
          <w:b/>
          <w:bCs/>
          <w:color w:val="1E3A8A"/>
          <w:sz w:val="24"/>
          <w:szCs w:val="24"/>
        </w:rPr>
        <w:t xml:space="preserve">Enterprise vs. Open-Source Capability Matrix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25%"/>
            <w:shd w:fill="1E3A8A" w:val="clear"/>
          </w:tcPr>
          <w:p>
            <w:r>
              <w:rPr>
                <w:b/>
                <w:bCs/>
                <w:color w:val="FFFFFF"/>
              </w:rPr>
              <w:t xml:space="preserve">Capability</w:t>
            </w:r>
          </w:p>
        </w:tc>
        <w:tc>
          <w:tcPr>
            <w:tcW w:type="pct" w:w="37%"/>
            <w:shd w:fill="1E3A8A" w:val="clear"/>
          </w:tcPr>
          <w:p>
            <w:r>
              <w:rPr>
                <w:b/>
                <w:bCs/>
                <w:color w:val="FFFFFF"/>
              </w:rPr>
              <w:t xml:space="preserve">Community OSS Edition</w:t>
            </w:r>
          </w:p>
        </w:tc>
        <w:tc>
          <w:tcPr>
            <w:tcW w:type="pct" w:w="38%"/>
            <w:shd w:fill="1E3A8A" w:val="clear"/>
          </w:tcPr>
          <w:p>
            <w:r>
              <w:rPr>
                <w:b/>
                <w:bCs/>
                <w:color w:val="FFFFFF"/>
              </w:rPr>
              <w:t xml:space="preserve">Enterprise (EE) Edition</w:t>
            </w:r>
          </w:p>
        </w:tc>
      </w:tr>
      <w:tr>
        <w:tc>
          <w:p>
            <w:r>
              <w:rPr>
                <w:b/>
                <w:bCs/>
              </w:rPr>
              <w:t xml:space="preserve">Identity Protocols</w:t>
            </w:r>
          </w:p>
        </w:tc>
        <w:tc>
          <w:p>
            <w:r>
              <w:t xml:space="preserve">OIDC, OAuth2, JWT token verification</w:t>
            </w:r>
          </w:p>
        </w:tc>
        <w:tc>
          <w:p>
            <w:r>
              <w:t xml:space="preserve">✔ SAML 2.0 enterprise IdP federation</w:t>
            </w:r>
          </w:p>
        </w:tc>
      </w:tr>
      <w:tr>
        <w:tc>
          <w:p>
            <w:r>
              <w:rPr>
                <w:b/>
                <w:bCs/>
              </w:rPr>
              <w:t xml:space="preserve">Workload Auth</w:t>
            </w:r>
          </w:p>
        </w:tc>
        <w:tc>
          <w:p>
            <w:r>
              <w:t xml:space="preserve">API key &amp; static token management</w:t>
            </w:r>
          </w:p>
        </w:tc>
        <w:tc>
          <w:p>
            <w:r>
              <w:t xml:space="preserve">✔ Automated SPIFFE/SPIRE short-lived x509 SVID issuance</w:t>
            </w:r>
          </w:p>
        </w:tc>
      </w:tr>
    </w:tbl>
    <w:p>
      <w:pPr>
        <w:spacing w:after="120" w:before="400"/>
      </w:pPr>
      <w:r>
        <w:rPr>
          <w:b/>
          <w:bCs/>
          <w:color w:val="1E3A8A"/>
          <w:sz w:val="24"/>
          <w:szCs w:val="24"/>
        </w:rPr>
        <w:t xml:space="preserve">Enterprise Feature Catalog &amp; Roadmap Items</w:t>
      </w:r>
    </w:p>
    <w:p>
      <w:pPr>
        <w:spacing w:after="100"/>
      </w:pPr>
      <w:r>
        <w:t xml:space="preserve">• EE.85.19: Federated IdP Mapper (Okta / Azure AD SAML 2.0 integration)</w:t>
      </w:r>
    </w:p>
    <w:p>
      <w:pPr>
        <w:spacing w:after="100"/>
      </w:pPr>
      <w:r>
        <w:t xml:space="preserve">• EE.86.2: SPIFFE/SPIRE Workload Identity Engine (Automated short-lived x509 SVIDs)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2026-08-03T13:40:27.535Z</dcterms:created>
  <dcterms:modified xsi:type="dcterms:W3CDTF">2026-08-03T13:40:27.535Z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