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Console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Unified Cluster Control Plane &amp; Governance Dashboard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Console is the central management and operational control plane for the Pranor ecosystem. It provides real-time cluster monitoring, multi-tenant RBAC, audit logging, and automated compliance policy enforcers.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Multi-Cluster Operational Control Plane</w:t>
      </w:r>
    </w:p>
    <w:p>
      <w:pPr>
        <w:spacing w:after="180"/>
      </w:pPr>
      <w:r>
        <w:t xml:space="preserve">Unified dashboard monitoring health, throughput, latency, and node status across hybrid multi-cloud deployments.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Merkle Tree Audit Ledger (EE.87.8)</w:t>
      </w:r>
    </w:p>
    <w:p>
      <w:pPr>
        <w:spacing w:after="180"/>
      </w:pPr>
      <w:r>
        <w:t xml:space="preserve">Cryptographically verifiable, append-only Merkle tree audit log ensuring tamper-proof administrative audit records.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Regulatory WORM Governance Vault (EE.87.13)</w:t>
      </w:r>
    </w:p>
    <w:p>
      <w:pPr>
        <w:spacing w:after="180"/>
      </w:pPr>
      <w:r>
        <w:t xml:space="preserve">SEC 17a-4 compliant governance storage locking system audit trails against unauthorized tampering.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Control Plane</w:t>
            </w:r>
          </w:p>
        </w:tc>
        <w:tc>
          <w:p>
            <w:r>
              <w:t xml:space="preserve">Unified cluster dashboard &amp; node telemetry</w:t>
            </w:r>
          </w:p>
        </w:tc>
        <w:tc>
          <w:p>
            <w:r>
              <w:t xml:space="preserve">✔ Multi-tenant enterprise organizational hierarchy</w:t>
            </w:r>
          </w:p>
        </w:tc>
      </w:tr>
      <w:tr>
        <w:tc>
          <w:p>
            <w:r>
              <w:rPr>
                <w:b/>
                <w:bCs/>
              </w:rPr>
              <w:t xml:space="preserve">Audit Logging</w:t>
            </w:r>
          </w:p>
        </w:tc>
        <w:tc>
          <w:p>
            <w:r>
              <w:t xml:space="preserve">Standard append-only audit logger</w:t>
            </w:r>
          </w:p>
        </w:tc>
        <w:tc>
          <w:p>
            <w:r>
              <w:t xml:space="preserve">✔ Merkle tree cryptographically verifiable audit ledger</w:t>
            </w:r>
          </w:p>
        </w:tc>
      </w:tr>
      <w:tr>
        <w:tc>
          <w:p>
            <w:r>
              <w:rPr>
                <w:b/>
                <w:bCs/>
              </w:rPr>
              <w:t xml:space="preserve">Compliance</w:t>
            </w:r>
          </w:p>
        </w:tc>
        <w:tc>
          <w:p>
            <w:r>
              <w:t xml:space="preserve">Role-Based Access Control (RBAC)</w:t>
            </w:r>
          </w:p>
        </w:tc>
        <w:tc>
          <w:p>
            <w:r>
              <w:t xml:space="preserve">✔ Regulatory WORM storage lock &amp; SEC 17a-4 audit compliance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EE.87.8: Merkle Tree Cryptographic Audit Ledger (Tamper-proof audit logs)</w:t>
      </w:r>
    </w:p>
    <w:p>
      <w:pPr>
        <w:spacing w:after="100"/>
      </w:pPr>
      <w:r>
        <w:t xml:space="preserve">• EE.87.13: SEC 17a-4 Regulatory WORM Governance Vault (Compliance retention lock)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2026-08-03T13:40:27.531Z</dcterms:created>
  <dcterms:modified xsi:type="dcterms:W3CDTF">2026-08-03T13:40:27.531Z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