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Mesh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Zero-Trust Service Mesh &amp; Microsegmentation Engine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Mesh provides encrypted service-to-service communication, automatic mTLS sidecar injection, eBPF network microsegmentation, and BFT consensus routing.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eBPF Network Microsegmentation &amp; BFT Raft (EE.86.15, EE.87.7)</w:t>
      </w:r>
    </w:p>
    <w:p>
      <w:pPr>
        <w:spacing w:after="180"/>
      </w:pPr>
      <w:r>
        <w:t xml:space="preserve">Enforces kernel-level layer 4/7 isolation policies and Byzantine Fault Tolerant control plane consensus.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Service Connectivity</w:t>
            </w:r>
          </w:p>
        </w:tc>
        <w:tc>
          <w:p>
            <w:r>
              <w:t xml:space="preserve">mTLS sidecar proxying &amp; traffic splitting</w:t>
            </w:r>
          </w:p>
        </w:tc>
        <w:tc>
          <w:p>
            <w:r>
              <w:t xml:space="preserve">✔ Kernel eBPF zero-trust microsegmentation</w:t>
            </w:r>
          </w:p>
        </w:tc>
      </w:tr>
      <w:tr>
        <w:tc>
          <w:p>
            <w:r>
              <w:rPr>
                <w:b/>
                <w:bCs/>
              </w:rPr>
              <w:t xml:space="preserve">Consensus</w:t>
            </w:r>
          </w:p>
        </w:tc>
        <w:tc>
          <w:p>
            <w:r>
              <w:t xml:space="preserve">Standard Raft consensus control plane</w:t>
            </w:r>
          </w:p>
        </w:tc>
        <w:tc>
          <w:p>
            <w:r>
              <w:t xml:space="preserve">✔ BFT Raft Byzantine fault tolerant consensus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EE.86.15: eBPF Kernel Microsegmentation (Zero-trust traffic isolation)</w:t>
      </w:r>
    </w:p>
    <w:p>
      <w:pPr>
        <w:spacing w:after="100"/>
      </w:pPr>
      <w:r>
        <w:t xml:space="preserve">• EE.87.7: BFT Raft Service Mesh Control Plane (Byzantine resilient routing)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2026-08-03T13:40:27.542Z</dcterms:created>
  <dcterms:modified xsi:type="dcterms:W3CDTF">2026-08-03T13:40:27.542Z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