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Pranor Pool</w:t>
      </w:r>
    </w:p>
    <w:p>
      <w:pPr>
        <w:spacing w:after="300"/>
      </w:pPr>
      <w:r>
        <w:rPr>
          <w:b/>
          <w:bCs/>
          <w:color w:val="0D9488"/>
          <w:sz w:val="28"/>
          <w:szCs w:val="28"/>
        </w:rPr>
        <w:t xml:space="preserve">Zero-Downtime Database Migration &amp; Connection Proxy</w:t>
      </w:r>
    </w:p>
    <w:p>
      <w:pPr>
        <w:spacing w:after="120" w:before="200"/>
      </w:pPr>
      <w:r>
        <w:rPr>
          <w:b/>
          <w:bCs/>
          <w:color w:val="1E3A8A"/>
          <w:sz w:val="24"/>
          <w:szCs w:val="24"/>
        </w:rPr>
        <w:t xml:space="preserve">Executive Summary &amp; Architecture Overview</w:t>
      </w:r>
    </w:p>
    <w:p>
      <w:pPr>
        <w:spacing w:after="300"/>
      </w:pPr>
      <w:r>
        <w:t xml:space="preserve">Pranor Pool provides high-performance connection pooling, read/write splitting, and automated zero-downtime schema migrations for SQL databases.</w:t>
      </w:r>
    </w:p>
    <w:p>
      <w:pPr>
        <w:spacing w:after="120" w:before="200"/>
      </w:pPr>
      <w:r>
        <w:rPr>
          <w:b/>
          <w:bCs/>
          <w:color w:val="1E3A8A"/>
          <w:sz w:val="24"/>
          <w:szCs w:val="24"/>
        </w:rPr>
        <w:t xml:space="preserve">Detailed Component Specifications</w:t>
      </w:r>
    </w:p>
    <w:p>
      <w:pPr>
        <w:spacing w:after="60" w:before="120"/>
      </w:pPr>
      <w:r>
        <w:rPr>
          <w:b/>
          <w:bCs/>
          <w:color w:val="1F2937"/>
          <w:sz w:val="20"/>
          <w:szCs w:val="20"/>
        </w:rPr>
        <w:t xml:space="preserve">Zero-Downtime Schema Migration Engine</w:t>
      </w:r>
    </w:p>
    <w:p>
      <w:pPr>
        <w:spacing w:after="180"/>
      </w:pPr>
      <w:r>
        <w:t xml:space="preserve">Executes online DDL updates without locking database tables during heavy write traffic.</w:t>
      </w:r>
    </w:p>
    <w:p>
      <w:pPr>
        <w:spacing w:after="180" w:before="300"/>
      </w:pPr>
      <w:r>
        <w:rPr>
          <w:b/>
          <w:bCs/>
          <w:color w:val="1E3A8A"/>
          <w:sz w:val="24"/>
          <w:szCs w:val="24"/>
        </w:rPr>
        <w:t xml:space="preserve">Enterprise vs. Open-Source Capability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Capability</w:t>
            </w:r>
          </w:p>
        </w:tc>
        <w:tc>
          <w:tcPr>
            <w:tcW w:type="pct" w:w="37%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Community OSS Edition</w:t>
            </w:r>
          </w:p>
        </w:tc>
        <w:tc>
          <w:tcPr>
            <w:tcW w:type="pct" w:w="38%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Enterprise (EE) Edition</w:t>
            </w:r>
          </w:p>
        </w:tc>
      </w:tr>
      <w:tr>
        <w:tc>
          <w:p>
            <w:r>
              <w:rPr>
                <w:b/>
                <w:bCs/>
              </w:rPr>
              <w:t xml:space="preserve">Connection Pooling</w:t>
            </w:r>
          </w:p>
        </w:tc>
        <w:tc>
          <w:p>
            <w:r>
              <w:t xml:space="preserve">Connection multiplexing &amp; statement caching</w:t>
            </w:r>
          </w:p>
        </w:tc>
        <w:tc>
          <w:p>
            <w:r>
              <w:t xml:space="preserve">✔ Multi-region read replica routing</w:t>
            </w:r>
          </w:p>
        </w:tc>
      </w:tr>
      <w:tr>
        <w:tc>
          <w:p>
            <w:r>
              <w:rPr>
                <w:b/>
                <w:bCs/>
              </w:rPr>
              <w:t xml:space="preserve">Migrations</w:t>
            </w:r>
          </w:p>
        </w:tc>
        <w:tc>
          <w:p>
            <w:r>
              <w:t xml:space="preserve">Schema version tracking &amp; rollback scripts</w:t>
            </w:r>
          </w:p>
        </w:tc>
        <w:tc>
          <w:p>
            <w:r>
              <w:t xml:space="preserve">✔ Zero-downtime online DDL migration engine</w:t>
            </w:r>
          </w:p>
        </w:tc>
      </w:tr>
    </w:tbl>
    <w:p>
      <w:pPr>
        <w:spacing w:after="120" w:before="400"/>
      </w:pPr>
      <w:r>
        <w:rPr>
          <w:b/>
          <w:bCs/>
          <w:color w:val="1E3A8A"/>
          <w:sz w:val="24"/>
          <w:szCs w:val="24"/>
        </w:rPr>
        <w:t xml:space="preserve">Enterprise Feature Catalog &amp; Roadmap Items</w:t>
      </w:r>
    </w:p>
    <w:p>
      <w:pPr>
        <w:spacing w:after="100"/>
      </w:pPr>
      <w:r>
        <w:t xml:space="preserve">• EE.85.35: Online Non-Blocking Schema Migration Engine (Zero-downtime DDL executor)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2026-08-03T13:40:27.549Z</dcterms:created>
  <dcterms:modified xsi:type="dcterms:W3CDTF">2026-08-03T13:40:27.549Z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