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Secret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FIPS 140-3 Cryptographic Key &amp; Secret Management Vault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Secret provides secure secret storage, dynamic credential generation, and cryptographic key management backed by FIPS 140-3 HSM hardware and cloud KMS integration.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FIPS 140-3 Level 3 HSM Integration &amp; Post-Quantum Kyber (EE.86.1, EE.86.3)</w:t>
      </w:r>
    </w:p>
    <w:p>
      <w:pPr>
        <w:spacing w:after="180"/>
      </w:pPr>
      <w:r>
        <w:t xml:space="preserve">Hardware Security Module (HSM) key isolation supporting NIST Post-Quantum Cryptography (Kyber768) for quantum-resistant encryption.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Multi-Cloud KMS Federation &amp; MPC Key Splitter (EE.86.4, EE.86.6)</w:t>
      </w:r>
    </w:p>
    <w:p>
      <w:pPr>
        <w:spacing w:after="180"/>
      </w:pPr>
      <w:r>
        <w:t xml:space="preserve">Federated key management across AWS KMS, GCP KMS, and Azure Key Vault with Zero-Knowledge Multi-Party Computation key splitting.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Secret Vaulting</w:t>
            </w:r>
          </w:p>
        </w:tc>
        <w:tc>
          <w:p>
            <w:r>
              <w:t xml:space="preserve">AES-256 encrypted secret store &amp; auto-rotation</w:t>
            </w:r>
          </w:p>
        </w:tc>
        <w:tc>
          <w:p>
            <w:r>
              <w:t xml:space="preserve">✔ FIPS 140-3 Level 3 HSM key isolation</w:t>
            </w:r>
          </w:p>
        </w:tc>
      </w:tr>
      <w:tr>
        <w:tc>
          <w:p>
            <w:r>
              <w:rPr>
                <w:b/>
                <w:bCs/>
              </w:rPr>
              <w:t xml:space="preserve">Cryptography</w:t>
            </w:r>
          </w:p>
        </w:tc>
        <w:tc>
          <w:p>
            <w:r>
              <w:t xml:space="preserve">Standard RSA &amp; ECDSA algorithms</w:t>
            </w:r>
          </w:p>
        </w:tc>
        <w:tc>
          <w:p>
            <w:r>
              <w:t xml:space="preserve">✔ NIST Post-Quantum Kyber768 quantum-resistant encryption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EE.86.1: FIPS 140-3 Cryptographic HSM Adapter (Hardware key isolation)</w:t>
      </w:r>
    </w:p>
    <w:p>
      <w:pPr>
        <w:spacing w:after="100"/>
      </w:pPr>
      <w:r>
        <w:t xml:space="preserve">• EE.86.3: Post-Quantum Kyber768 Encryption Engine (Quantum-resistant security)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2026-08-03T13:40:27.536Z</dcterms:created>
  <dcterms:modified xsi:type="dcterms:W3CDTF">2026-08-03T13:40:27.536Z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