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Default ContentType="application/x-font-ttf" Extension="ttf"/>
  <Default ContentType="application/vnd.openxmlformats-officedocument.obfuscatedFont" Extension="odtt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VYVE Wellness - HBOT Messaging Brief</w:t>
      </w:r>
    </w:p>
    <w:p>
      <w:pPr>
        <w:pStyle w:val="BlockText"/>
      </w:pPr>
      <w:r>
        <w:t xml:space="preserve">PURPOSE: Agree the message for the Recovery Kickstart page and ads before any copy is written. Every section below is a decision to confirm, not a draft to edit.</w:t>
      </w:r>
    </w:p>
    <w:p>
      <w:pPr>
        <w:pStyle w:val="FirstParagraph"/>
      </w:pPr>
      <w:r>
        <w:t xml:space="preserve">Prepared: 28 August 2026. Page: go.vyvewellness.com/hyperbaric-oxygen-special. Offer: Recovery Kickstart, $147.</w:t>
      </w:r>
    </w:p>
    <w:p>
      <w:pPr>
        <w:pStyle w:val="Heading1"/>
      </w:pPr>
      <w:r>
        <w:t xml:space="preserve">The approach</w:t>
      </w:r>
    </w:p>
    <w:p>
      <w:pPr>
        <w:pStyle w:val="FirstParagraph"/>
      </w:pPr>
      <w:r>
        <w:rPr>
          <w:b/>
          <w:bCs/>
        </w:rPr>
        <w:t xml:space="preserve">Lead with the mechanism, not the ailment.</w:t>
      </w:r>
      <w:r>
        <w:t xml:space="preserve"> </w:t>
      </w:r>
      <w:r>
        <w:t xml:space="preserve">The page opens by explaining what hyperbaric oxygen actually does inside the body, then earns the right to talk about benefits. One idea, explained plainly, before any promise is made.</w:t>
      </w:r>
    </w:p>
    <w:p>
      <w:pPr>
        <w:pStyle w:val="BodyText"/>
      </w:pPr>
      <w:r>
        <w:rPr>
          <w:b/>
          <w:bCs/>
        </w:rPr>
        <w:t xml:space="preserve">This is message matching, not a new idea.</w:t>
      </w:r>
      <w:r>
        <w:t xml:space="preserve"> </w:t>
      </w:r>
      <w:r>
        <w:t xml:space="preserve">The best performing ad in the account already does exactly this. Its opening line is</w:t>
      </w:r>
      <w:r>
        <w:t xml:space="preserve"> </w:t>
      </w:r>
      <w:r>
        <w:t xml:space="preserve">“What does 30 minutes of pure oxygen do to your body,”</w:t>
      </w:r>
      <w:r>
        <w:t xml:space="preserve"> </w:t>
      </w:r>
      <w:r>
        <w:t xml:space="preserve">followed by pressure, concentrated oxygen, and only then the benefits. The landing page does not match it. It opens on conditions instead.</w:t>
      </w:r>
    </w:p>
    <w:p>
      <w:pPr>
        <w:pStyle w:val="BodyText"/>
      </w:pPr>
      <w:r>
        <w:rPr>
          <w:b/>
          <w:bCs/>
        </w:rPr>
        <w:t xml:space="preserve">Breadth stays, but it moves.</w:t>
      </w:r>
      <w:r>
        <w:t xml:space="preserve"> </w:t>
      </w:r>
      <w:r>
        <w:t xml:space="preserve">The audience remains wide. The difference is that the range of people we help is stated once, in a qualifying list, rather than spread across the page as competing promises.</w:t>
      </w:r>
    </w:p>
    <w:p>
      <w:pPr>
        <w:pStyle w:val="Heading1"/>
      </w:pPr>
      <w:r>
        <w:t xml:space="preserve">The mechanism</w:t>
      </w:r>
    </w:p>
    <w:tbl>
      <w:tblPr>
        <w:tblStyle w:val="Table"/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90" w:type="dxa"/>
          <w:left w:w="110" w:type="dxa"/>
          <w:bottom w:w="90" w:type="dxa"/>
          <w:right w:w="110" w:type="dxa"/>
        </w:tblCellMar>
        <w:tblLayout w:type="fixed"/>
        <w:tblLook w:val="0400"/>
      </w:tblPr>
      <w:tblGrid>
        <w:gridCol w:w="4680"/>
        <w:gridCol w:w="4680"/>
      </w:tblGrid>
      <w:tr>
        <w:trPr>
          <w:tblHeader w:val="1"/>
          <w:tblHeader w:val="on"/>
        </w:trPr>
        <w:tc>
          <w:tcPr>
            <w:tcW w:w="4680" w:type="dxa"/>
          </w:tcPr>
          <w:tcPr/>
          <w:p>
            <w:pPr>
              <w:pStyle w:val="Compact"/>
            </w:pPr>
            <w:r>
              <w:t xml:space="preserve">Beat</w:t>
            </w:r>
          </w:p>
        </w:tc>
        <w:tcPr>
          <w:tcW w:w="4680" w:type="dxa"/>
        </w:tcPr>
        <w:tc>
          <w:tcPr>
            <w:tcW w:w="4680" w:type="dxa"/>
          </w:tcPr>
          <w:tcPr/>
          <w:p>
            <w:pPr>
              <w:pStyle w:val="Compact"/>
            </w:pPr>
            <w:r>
              <w:t xml:space="preserve">What the page says</w:t>
            </w:r>
          </w:p>
        </w:tc>
        <w:tcPr>
          <w:tcW w:w="4680" w:type="dxa"/>
        </w:tcPr>
      </w:tr>
      <w:tr>
        <w:tc>
          <w:tcPr>
            <w:tcW w:w="4680" w:type="dxa"/>
          </w:tcPr>
          <w:tcPr/>
          <w:p>
            <w:pPr>
              <w:pStyle w:val="Compact"/>
            </w:pPr>
            <w:r>
              <w:t xml:space="preserve">1</w:t>
            </w:r>
          </w:p>
        </w:tc>
        <w:tcPr>
          <w:tcW w:w="4680" w:type="dxa"/>
        </w:tcPr>
        <w:tc>
          <w:tcPr>
            <w:tcW w:w="4680" w:type="dxa"/>
          </w:tcPr>
          <w:tcPr/>
          <w:p>
            <w:pPr>
              <w:pStyle w:val="Compact"/>
            </w:pPr>
            <w:r>
              <w:t xml:space="preserve">Your body runs on oxygen, and it carries that oxygen on red blood cells. Red blood cells are large, so they only reach tissue where blood is flowing freely.</w:t>
            </w:r>
          </w:p>
        </w:tc>
        <w:tcPr>
          <w:tcW w:w="4680" w:type="dxa"/>
        </w:tcPr>
      </w:tr>
      <w:tr>
        <w:tc>
          <w:tcPr>
            <w:tcW w:w="4680" w:type="dxa"/>
          </w:tcPr>
          <w:tcPr/>
          <w:p>
            <w:pPr>
              <w:pStyle w:val="Compact"/>
            </w:pPr>
            <w:r>
              <w:t xml:space="preserve">2</w:t>
            </w:r>
          </w:p>
        </w:tc>
        <w:tcPr>
          <w:tcW w:w="4680" w:type="dxa"/>
        </w:tcPr>
        <w:tc>
          <w:tcPr>
            <w:tcW w:w="4680" w:type="dxa"/>
          </w:tcPr>
          <w:tcPr/>
          <w:p>
            <w:pPr>
              <w:pStyle w:val="Compact"/>
            </w:pPr>
            <w:r>
              <w:t xml:space="preserve">Inside the chamber, pressure rises to about twice normal atmosphere.</w:t>
            </w:r>
          </w:p>
        </w:tc>
        <w:tcPr>
          <w:tcW w:w="4680" w:type="dxa"/>
        </w:tcPr>
      </w:tr>
      <w:tr>
        <w:tc>
          <w:tcPr>
            <w:tcW w:w="4680" w:type="dxa"/>
          </w:tcPr>
          <w:tcPr/>
          <w:p>
            <w:pPr>
              <w:pStyle w:val="Compact"/>
            </w:pPr>
            <w:r>
              <w:t xml:space="preserve">3</w:t>
            </w:r>
          </w:p>
        </w:tc>
        <w:tcPr>
          <w:tcW w:w="4680" w:type="dxa"/>
        </w:tcPr>
        <w:tc>
          <w:tcPr>
            <w:tcW w:w="4680" w:type="dxa"/>
          </w:tcPr>
          <w:tcPr/>
          <w:p>
            <w:pPr>
              <w:pStyle w:val="Compact"/>
            </w:pPr>
            <w:r>
              <w:t xml:space="preserve">Under that pressure, oxygen dissolves directly into the fluid part of your blood, not only into the cells that carry it.</w:t>
            </w:r>
          </w:p>
        </w:tc>
        <w:tcPr>
          <w:tcW w:w="4680" w:type="dxa"/>
        </w:tcPr>
      </w:tr>
      <w:tr>
        <w:tc>
          <w:tcPr>
            <w:tcW w:w="4680" w:type="dxa"/>
          </w:tcPr>
          <w:tcPr/>
          <w:p>
            <w:pPr>
              <w:pStyle w:val="Compact"/>
            </w:pPr>
            <w:r>
              <w:t xml:space="preserve">4</w:t>
            </w:r>
          </w:p>
        </w:tc>
        <w:tcPr>
          <w:tcW w:w="4680" w:type="dxa"/>
        </w:tcPr>
        <w:tc>
          <w:tcPr>
            <w:tcW w:w="4680" w:type="dxa"/>
          </w:tcPr>
          <w:tcPr/>
          <w:p>
            <w:pPr>
              <w:pStyle w:val="Compact"/>
            </w:pPr>
            <w:r>
              <w:t xml:space="preserve">That fluid reaches what red blood cells struggle to reach. Swollen tissue, tired muscle, areas where circulation has slowed.</w:t>
            </w:r>
          </w:p>
        </w:tc>
        <w:tcPr>
          <w:tcW w:w="4680" w:type="dxa"/>
        </w:tcPr>
      </w:tr>
      <w:tr>
        <w:tc>
          <w:tcPr>
            <w:tcW w:w="4680" w:type="dxa"/>
          </w:tcPr>
          <w:tcPr/>
          <w:p>
            <w:pPr>
              <w:pStyle w:val="Compact"/>
            </w:pPr>
            <w:r>
              <w:t xml:space="preserve">5</w:t>
            </w:r>
          </w:p>
        </w:tc>
        <w:tcPr>
          <w:tcW w:w="4680" w:type="dxa"/>
        </w:tcPr>
        <w:tc>
          <w:tcPr>
            <w:tcW w:w="4680" w:type="dxa"/>
          </w:tcPr>
          <w:tcPr/>
          <w:p>
            <w:pPr>
              <w:pStyle w:val="Compact"/>
            </w:pPr>
            <w:r>
              <w:t xml:space="preserve">Oxygen is the raw material your body repairs and makes energy with. Give it more, and you support work it is already trying to do.</w:t>
            </w:r>
          </w:p>
        </w:tc>
        <w:tcPr>
          <w:tcW w:w="4680" w:type="dxa"/>
        </w:tcPr>
      </w:tr>
      <w:tr>
        <w:tc>
          <w:tcPr>
            <w:tcW w:w="4680" w:type="dxa"/>
          </w:tcPr>
          <w:tcPr/>
          <w:p>
            <w:pPr>
              <w:pStyle w:val="Compact"/>
            </w:pPr>
            <w:r>
              <w:t xml:space="preserve">6</w:t>
            </w:r>
          </w:p>
        </w:tc>
        <w:tcPr>
          <w:tcW w:w="4680" w:type="dxa"/>
        </w:tcPr>
        <w:tc>
          <w:tcPr>
            <w:tcW w:w="4680" w:type="dxa"/>
          </w:tcPr>
          <w:tcPr/>
          <w:p>
            <w:pPr>
              <w:pStyle w:val="Compact"/>
            </w:pPr>
            <w:r>
              <w:t xml:space="preserve">It compounds. One session is what it feels like. A course is where it goes.</w:t>
            </w:r>
          </w:p>
        </w:tc>
        <w:tcPr>
          <w:tcW w:w="4680" w:type="dxa"/>
        </w:tcPr>
      </w:tr>
    </w:tbl>
    <w:p>
      <w:pPr>
        <w:pStyle w:val="BodyText"/>
      </w:pPr>
      <w:r>
        <w:rPr>
          <w:b/>
          <w:bCs/>
        </w:rPr>
        <w:t xml:space="preserve">Beat 6 carries more weight than its length suggests.</w:t>
      </w:r>
      <w:r>
        <w:t xml:space="preserve"> </w:t>
      </w:r>
      <w:r>
        <w:t xml:space="preserve">It sets the expectation that this is the first step of a plan rather than a one-off experience, which is the single cheapest change available to the page.</w:t>
      </w:r>
    </w:p>
    <w:p>
      <w:pPr>
        <w:pStyle w:val="Heading1"/>
      </w:pPr>
      <w:r>
        <w:t xml:space="preserve">Headline options</w:t>
      </w:r>
    </w:p>
    <w:tbl>
      <w:tblPr>
        <w:tblStyle w:val="Table"/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90" w:type="dxa"/>
          <w:left w:w="110" w:type="dxa"/>
          <w:bottom w:w="90" w:type="dxa"/>
          <w:right w:w="110" w:type="dxa"/>
        </w:tblCellMar>
        <w:tblLayout w:type="fixed"/>
        <w:tblLook w:val="0400"/>
      </w:tblPr>
      <w:tblGrid>
        <w:gridCol w:w="3120"/>
        <w:gridCol w:w="3120"/>
        <w:gridCol w:w="3120"/>
      </w:tblGrid>
      <w:tr>
        <w:trPr>
          <w:tblHeader w:val="1"/>
          <w:tblHeader w:val="on"/>
        </w:tr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Option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Line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Note</w:t>
            </w:r>
          </w:p>
        </w:tc>
        <w:tcPr>
          <w:tcW w:w="3120" w:type="dxa"/>
        </w:tcPr>
      </w:tr>
      <w:tr>
        <w:tc>
          <w:tcPr>
            <w:tcW w:w="3120" w:type="dxa"/>
          </w:tcPr>
          <w:tcPr/>
          <w:p>
            <w:pPr>
              <w:pStyle w:val="Compact"/>
            </w:pPr>
            <w:r>
              <w:t xml:space="preserve">A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Oxygen goes where blood cannot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Delivery framing. Already approved as the section headline in v2 and the clearest of the four.</w:t>
            </w:r>
          </w:p>
        </w:tc>
        <w:tcPr>
          <w:tcW w:w="3120" w:type="dxa"/>
        </w:tcPr>
      </w:tr>
      <w:tr>
        <w:tc>
          <w:tcPr>
            <w:tcW w:w="3120" w:type="dxa"/>
          </w:tcPr>
          <w:tcPr/>
          <w:p>
            <w:pPr>
              <w:pStyle w:val="Compact"/>
            </w:pPr>
            <w:r>
              <w:t xml:space="preserve">B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Your body knows how to repair itself. It just runs out of oxygen.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Raw material framing. Warmest and least technical.</w:t>
            </w:r>
          </w:p>
        </w:tc>
        <w:tcPr>
          <w:tcW w:w="3120" w:type="dxa"/>
        </w:tcPr>
      </w:tr>
      <w:tr>
        <w:tc>
          <w:tcPr>
            <w:tcW w:w="3120" w:type="dxa"/>
          </w:tcPr>
          <w:tcPr/>
          <w:p>
            <w:pPr>
              <w:pStyle w:val="Compact"/>
            </w:pPr>
            <w:r>
              <w:t xml:space="preserve">C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Pressure changes what your blood can carry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Physics framing. Accurate, but weaker standing on its own.</w:t>
            </w:r>
          </w:p>
        </w:tc>
        <w:tcPr>
          <w:tcW w:w="3120" w:type="dxa"/>
        </w:tcPr>
      </w:tr>
      <w:tr>
        <w:tc>
          <w:tcPr>
            <w:tcW w:w="3120" w:type="dxa"/>
          </w:tcPr>
          <w:tcPr/>
          <w:p>
            <w:pPr>
              <w:pStyle w:val="Compact"/>
            </w:pPr>
            <w:r>
              <w:t xml:space="preserve">D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It’s not age. It’s oxygen.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Deficit framing. Strongest hook, but needs a mechanism subhead under it. Page only, Meta reads this as a personal health attribute.</w:t>
            </w:r>
          </w:p>
        </w:tc>
        <w:tcPr>
          <w:tcW w:w="3120" w:type="dxa"/>
        </w:tcPr>
      </w:tr>
    </w:tbl>
    <w:p>
      <w:pPr>
        <w:pStyle w:val="BodyText"/>
      </w:pPr>
      <w:r>
        <w:rPr>
          <w:b/>
          <w:bCs/>
        </w:rPr>
        <w:t xml:space="preserve">Recommendation: D as the headline, A as the subhead beneath it.</w:t>
      </w:r>
      <w:r>
        <w:t xml:space="preserve"> </w:t>
      </w:r>
      <w:r>
        <w:t xml:space="preserve">D names the assumption the audience already holds, and A immediately supplies the reason. D does not run in Meta ads.</w:t>
      </w:r>
    </w:p>
    <w:p>
      <w:pPr>
        <w:pStyle w:val="Heading1"/>
      </w:pPr>
      <w:r>
        <w:t xml:space="preserve">Benefits, in order</w:t>
      </w:r>
    </w:p>
    <w:tbl>
      <w:tblPr>
        <w:tblStyle w:val="Table"/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90" w:type="dxa"/>
          <w:left w:w="110" w:type="dxa"/>
          <w:bottom w:w="90" w:type="dxa"/>
          <w:right w:w="110" w:type="dxa"/>
        </w:tblCellMar>
        <w:tblLayout w:type="fixed"/>
        <w:tblLook w:val="0400"/>
      </w:tblPr>
      <w:tblGrid>
        <w:gridCol w:w="3120"/>
        <w:gridCol w:w="3120"/>
        <w:gridCol w:w="3120"/>
      </w:tblGrid>
      <w:tr>
        <w:trPr>
          <w:tblHeader w:val="1"/>
          <w:tblHeader w:val="on"/>
        </w:tr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Rank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Benefit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Why it sits here</w:t>
            </w:r>
          </w:p>
        </w:tc>
        <w:tcPr>
          <w:tcW w:w="3120" w:type="dxa"/>
        </w:tcPr>
      </w:tr>
      <w:tr>
        <w:tc>
          <w:tcPr>
            <w:tcW w:w="3120" w:type="dxa"/>
          </w:tcPr>
          <w:tcPr/>
          <w:p>
            <w:pPr>
              <w:pStyle w:val="Compact"/>
            </w:pPr>
            <w:r>
              <w:t xml:space="preserve">1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Faster recovery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Broadest and most credible. It is also the first benefit the winning ad names.</w:t>
            </w:r>
          </w:p>
        </w:tc>
        <w:tcPr>
          <w:tcW w:w="3120" w:type="dxa"/>
        </w:tcPr>
      </w:tr>
      <w:tr>
        <w:tc>
          <w:tcPr>
            <w:tcW w:w="3120" w:type="dxa"/>
          </w:tcPr>
          <w:tcPr/>
          <w:p>
            <w:pPr>
              <w:pStyle w:val="Compact"/>
            </w:pPr>
            <w:r>
              <w:t xml:space="preserve">2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Less inflammation and swelling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The mechanism explains this one most directly, and it quietly underpins ranks 1, 3 and 4.</w:t>
            </w:r>
          </w:p>
        </w:tc>
        <w:tcPr>
          <w:tcW w:w="3120" w:type="dxa"/>
        </w:tcPr>
      </w:tr>
      <w:tr>
        <w:tc>
          <w:tcPr>
            <w:tcW w:w="3120" w:type="dxa"/>
          </w:tcPr>
          <w:tcPr/>
          <w:p>
            <w:pPr>
              <w:pStyle w:val="Compact"/>
            </w:pPr>
            <w:r>
              <w:t xml:space="preserve">3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Mental clarity and focus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What both existing reviews actually describe. Highest emotional pull for the core audience.</w:t>
            </w:r>
          </w:p>
        </w:tc>
        <w:tcPr>
          <w:tcW w:w="3120" w:type="dxa"/>
        </w:tcPr>
      </w:tr>
      <w:tr>
        <w:tc>
          <w:tcPr>
            <w:tcW w:w="3120" w:type="dxa"/>
          </w:tcPr>
          <w:tcPr/>
          <w:p>
            <w:pPr>
              <w:pStyle w:val="Compact"/>
            </w:pPr>
            <w:r>
              <w:t xml:space="preserve">4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Energy and stamina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The running on empty angle. Sells the deficit the mechanism resolves.</w:t>
            </w:r>
          </w:p>
        </w:tc>
        <w:tcPr>
          <w:tcW w:w="3120" w:type="dxa"/>
        </w:tcPr>
      </w:tr>
      <w:tr>
        <w:tc>
          <w:tcPr>
            <w:tcW w:w="3120" w:type="dxa"/>
          </w:tcPr>
          <w:tcPr/>
          <w:p>
            <w:pPr>
              <w:pStyle w:val="Compact"/>
            </w:pPr>
            <w:r>
              <w:t xml:space="preserve">5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Tissue and wound repair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The most clinically defensible item on the list, but the least persuasive. Use it as credibility, not as a lead.</w:t>
            </w:r>
          </w:p>
        </w:tc>
        <w:tcPr>
          <w:tcW w:w="3120" w:type="dxa"/>
        </w:tcPr>
      </w:tr>
      <w:tr>
        <w:tc>
          <w:tcPr>
            <w:tcW w:w="3120" w:type="dxa"/>
          </w:tcPr>
          <w:tcPr/>
          <w:p>
            <w:pPr>
              <w:pStyle w:val="Compact"/>
            </w:pPr>
            <w:r>
              <w:t xml:space="preserve">6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Sleep quality</w:t>
            </w:r>
          </w:p>
        </w:tc>
        <w:tcPr>
          <w:tcW w:w="3120" w:type="dxa"/>
        </w:tcPr>
        <w:tc>
          <w:tcPr>
            <w:tcW w:w="3120" w:type="dxa"/>
          </w:tcPr>
          <w:tcPr/>
          <w:p>
            <w:pPr>
              <w:pStyle w:val="Compact"/>
            </w:pPr>
            <w:r>
              <w:t xml:space="preserve">Include only if the clinic sees it consistently.</w:t>
            </w:r>
          </w:p>
        </w:tc>
        <w:tcPr>
          <w:tcW w:w="3120" w:type="dxa"/>
        </w:tcPr>
      </w:tr>
    </w:tbl>
    <w:p>
      <w:pPr>
        <w:pStyle w:val="BodyText"/>
      </w:pPr>
      <w:r>
        <w:rPr>
          <w:b/>
          <w:bCs/>
        </w:rPr>
        <w:t xml:space="preserve">There is a gap between what we promise and what we can prove.</w:t>
      </w:r>
      <w:r>
        <w:t xml:space="preserve"> </w:t>
      </w:r>
      <w:r>
        <w:t xml:space="preserve">The copy leads on recovery and inflammation, but the two reviews on the page both describe clarity and fatigue. Either the new testimonials cover ranks 1 and 2, or the benefit order flips to match the proof available. This is a decision for the clinic, based on which testimonials are easier to obtain.</w:t>
      </w:r>
    </w:p>
    <w:p>
      <w:pPr>
        <w:pStyle w:val="Heading1"/>
      </w:pPr>
      <w:r>
        <w:t xml:space="preserve">Why this beats what you are already taking</w:t>
      </w:r>
    </w:p>
    <w:tbl>
      <w:tblPr>
        <w:tblStyle w:val="Table"/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90" w:type="dxa"/>
          <w:left w:w="110" w:type="dxa"/>
          <w:bottom w:w="90" w:type="dxa"/>
          <w:right w:w="110" w:type="dxa"/>
        </w:tblCellMar>
        <w:tblLayout w:type="fixed"/>
        <w:tblLook w:val="0400"/>
      </w:tblPr>
      <w:tblGrid>
        <w:gridCol w:w="4680"/>
        <w:gridCol w:w="4680"/>
      </w:tblGrid>
      <w:tr>
        <w:trPr>
          <w:tblHeader w:val="1"/>
          <w:tblHeader w:val="on"/>
        </w:trPr>
        <w:tc>
          <w:tcPr>
            <w:tcW w:w="4680" w:type="dxa"/>
          </w:tcPr>
          <w:tcPr/>
          <w:p>
            <w:pPr>
              <w:pStyle w:val="Compact"/>
            </w:pPr>
            <w:r>
              <w:t xml:space="preserve">Beat</w:t>
            </w:r>
          </w:p>
        </w:tc>
        <w:tcPr>
          <w:tcW w:w="4680" w:type="dxa"/>
        </w:tcPr>
        <w:tc>
          <w:tcPr>
            <w:tcW w:w="4680" w:type="dxa"/>
          </w:tcPr>
          <w:tcPr/>
          <w:p>
            <w:pPr>
              <w:pStyle w:val="Compact"/>
            </w:pPr>
            <w:r>
              <w:t xml:space="preserve">The argument</w:t>
            </w:r>
          </w:p>
        </w:tc>
        <w:tcPr>
          <w:tcW w:w="4680" w:type="dxa"/>
        </w:tcPr>
      </w:tr>
      <w:tr>
        <w:tc>
          <w:tcPr>
            <w:tcW w:w="4680" w:type="dxa"/>
          </w:tcPr>
          <w:tcPr/>
          <w:p>
            <w:pPr>
              <w:pStyle w:val="Compact"/>
            </w:pPr>
            <w:r>
              <w:t xml:space="preserve">1</w:t>
            </w:r>
          </w:p>
        </w:tc>
        <w:tcPr>
          <w:tcW w:w="4680" w:type="dxa"/>
        </w:tcPr>
        <w:tc>
          <w:tcPr>
            <w:tcW w:w="4680" w:type="dxa"/>
          </w:tcPr>
          <w:tcPr/>
          <w:p>
            <w:pPr>
              <w:pStyle w:val="Compact"/>
            </w:pPr>
            <w:r>
              <w:t xml:space="preserve">You have already tried the invisible things. Capsules, powders, greens, sleep trackers, ice baths. You take them on faith because you cannot feel any of them working.</w:t>
            </w:r>
          </w:p>
        </w:tc>
        <w:tcPr>
          <w:tcW w:w="4680" w:type="dxa"/>
        </w:tcPr>
      </w:tr>
      <w:tr>
        <w:tc>
          <w:tcPr>
            <w:tcW w:w="4680" w:type="dxa"/>
          </w:tcPr>
          <w:tcPr/>
          <w:p>
            <w:pPr>
              <w:pStyle w:val="Compact"/>
            </w:pPr>
            <w:r>
              <w:t xml:space="preserve">2</w:t>
            </w:r>
          </w:p>
        </w:tc>
        <w:tcPr>
          <w:tcW w:w="4680" w:type="dxa"/>
        </w:tcPr>
        <w:tc>
          <w:tcPr>
            <w:tcW w:w="4680" w:type="dxa"/>
          </w:tcPr>
          <w:tcPr/>
          <w:p>
            <w:pPr>
              <w:pStyle w:val="Compact"/>
            </w:pPr>
            <w:r>
              <w:t xml:space="preserve">A supplement has to survive your gut before it reaches anything. Digest, absorb, circulate, and then hope enough of it arrives where you wanted it.</w:t>
            </w:r>
          </w:p>
        </w:tc>
        <w:tcPr>
          <w:tcW w:w="4680" w:type="dxa"/>
        </w:tcPr>
      </w:tr>
      <w:tr>
        <w:tc>
          <w:tcPr>
            <w:tcW w:w="4680" w:type="dxa"/>
          </w:tcPr>
          <w:tcPr/>
          <w:p>
            <w:pPr>
              <w:pStyle w:val="Compact"/>
            </w:pPr>
            <w:r>
              <w:t xml:space="preserve">3</w:t>
            </w:r>
          </w:p>
        </w:tc>
        <w:tcPr>
          <w:tcW w:w="4680" w:type="dxa"/>
        </w:tcPr>
        <w:tc>
          <w:tcPr>
            <w:tcW w:w="4680" w:type="dxa"/>
          </w:tcPr>
          <w:tcPr/>
          <w:p>
            <w:pPr>
              <w:pStyle w:val="Compact"/>
            </w:pPr>
            <w:r>
              <w:t xml:space="preserve">Oxygen is not a supplement. It is what your body already runs on, and pressure puts it straight into your blood. Nothing to digest, nothing to absorb.</w:t>
            </w:r>
          </w:p>
        </w:tc>
        <w:tcPr>
          <w:tcW w:w="4680" w:type="dxa"/>
        </w:tcPr>
      </w:tr>
      <w:tr>
        <w:tc>
          <w:tcPr>
            <w:tcW w:w="4680" w:type="dxa"/>
          </w:tcPr>
          <w:tcPr/>
          <w:p>
            <w:pPr>
              <w:pStyle w:val="Compact"/>
            </w:pPr>
            <w:r>
              <w:t xml:space="preserve">4</w:t>
            </w:r>
          </w:p>
        </w:tc>
        <w:tcPr>
          <w:tcW w:w="4680" w:type="dxa"/>
        </w:tcPr>
        <w:tc>
          <w:tcPr>
            <w:tcW w:w="4680" w:type="dxa"/>
          </w:tcPr>
          <w:tcPr/>
          <w:p>
            <w:pPr>
              <w:pStyle w:val="Compact"/>
            </w:pPr>
            <w:r>
              <w:t xml:space="preserve">And you feel the session while you are in it.</w:t>
            </w:r>
          </w:p>
        </w:tc>
        <w:tcPr>
          <w:tcW w:w="4680" w:type="dxa"/>
        </w:tcPr>
      </w:tr>
    </w:tbl>
    <w:p>
      <w:pPr>
        <w:pStyle w:val="BodyText"/>
      </w:pPr>
      <w:r>
        <w:rPr>
          <w:b/>
          <w:bCs/>
        </w:rPr>
        <w:t xml:space="preserve">The guardrail on this section.</w:t>
      </w:r>
      <w:r>
        <w:t xml:space="preserve"> </w:t>
      </w:r>
      <w:r>
        <w:t xml:space="preserve">We compare to the category, never to a named brand or product, and we never say supplements do not work. The line is that they are indirect and this is direct. A physician-led clinic telling people to bin their supplements reads as a sales pitch. The same clinic explaining why direct beats indirect reads as expertise, which is what the page is actually selling.</w:t>
      </w:r>
    </w:p>
    <w:p>
      <w:pPr>
        <w:pStyle w:val="Heading1"/>
      </w:pPr>
      <w:r>
        <w:t xml:space="preserve">Who it is for</w:t>
      </w:r>
    </w:p>
    <w:p>
      <w:pPr>
        <w:pStyle w:val="FirstParagraph"/>
      </w:pPr>
      <w:r>
        <w:t xml:space="preserve">Stated once, as a qualifying list:</w:t>
      </w:r>
    </w:p>
    <w:p>
      <w:pPr>
        <w:pStyle w:val="Compact"/>
        <w:numPr>
          <w:ilvl w:val="0"/>
          <w:numId w:val="1001"/>
        </w:numPr>
      </w:pPr>
      <w:r>
        <w:t xml:space="preserve">Athletes and active people who train hard</w:t>
      </w:r>
    </w:p>
    <w:p>
      <w:pPr>
        <w:pStyle w:val="Compact"/>
        <w:numPr>
          <w:ilvl w:val="0"/>
          <w:numId w:val="1001"/>
        </w:numPr>
      </w:pPr>
      <w:r>
        <w:t xml:space="preserve">Anyone recovering from surgery, injury or illness</w:t>
      </w:r>
    </w:p>
    <w:p>
      <w:pPr>
        <w:pStyle w:val="Compact"/>
        <w:numPr>
          <w:ilvl w:val="0"/>
          <w:numId w:val="1001"/>
        </w:numPr>
      </w:pPr>
      <w:r>
        <w:t xml:space="preserve">Sports injuries and slow healing tissue</w:t>
      </w:r>
    </w:p>
    <w:p>
      <w:pPr>
        <w:pStyle w:val="Compact"/>
        <w:numPr>
          <w:ilvl w:val="0"/>
          <w:numId w:val="1001"/>
        </w:numPr>
      </w:pPr>
      <w:r>
        <w:t xml:space="preserve">Brain fog and difficulty focusing</w:t>
      </w:r>
    </w:p>
    <w:p>
      <w:pPr>
        <w:pStyle w:val="Compact"/>
        <w:numPr>
          <w:ilvl w:val="0"/>
          <w:numId w:val="1001"/>
        </w:numPr>
      </w:pPr>
      <w:r>
        <w:t xml:space="preserve">Persistent aches and inflammation</w:t>
      </w:r>
    </w:p>
    <w:p>
      <w:pPr>
        <w:pStyle w:val="Compact"/>
        <w:numPr>
          <w:ilvl w:val="0"/>
          <w:numId w:val="1001"/>
        </w:numPr>
      </w:pPr>
      <w:r>
        <w:t xml:space="preserve">Running on empty despite sleep, diet and supplements</w:t>
      </w:r>
    </w:p>
    <w:p>
      <w:pPr>
        <w:pStyle w:val="FirstParagraph"/>
      </w:pPr>
      <w:r>
        <w:rPr>
          <w:b/>
          <w:bCs/>
        </w:rPr>
        <w:t xml:space="preserve">A short</w:t>
      </w:r>
      <w:r>
        <w:rPr>
          <w:b/>
          <w:bCs/>
        </w:rPr>
        <w:t xml:space="preserve"> </w:t>
      </w:r>
      <w:r>
        <w:rPr>
          <w:b/>
          <w:bCs/>
        </w:rPr>
        <w:t xml:space="preserve">“who this is not for”</w:t>
      </w:r>
      <w:r>
        <w:rPr>
          <w:b/>
          <w:bCs/>
        </w:rPr>
        <w:t xml:space="preserve"> </w:t>
      </w:r>
      <w:r>
        <w:rPr>
          <w:b/>
          <w:bCs/>
        </w:rPr>
        <w:t xml:space="preserve">line makes the whole list more believable.</w:t>
      </w:r>
      <w:r>
        <w:t xml:space="preserve"> </w:t>
      </w:r>
      <w:r>
        <w:t xml:space="preserve">Hyperbaric oxygen has real contraindications and the clinic already screens for them. Putting a plain version of that on the page costs nothing and buys credibility that no amount of copy can.</w:t>
      </w:r>
    </w:p>
    <w:p>
      <w:pPr>
        <w:pStyle w:val="Heading1"/>
      </w:pPr>
      <w:r>
        <w:t xml:space="preserve">Physician-led</w:t>
      </w:r>
    </w:p>
    <w:p>
      <w:pPr>
        <w:pStyle w:val="FirstParagraph"/>
      </w:pPr>
      <w:r>
        <w:rPr>
          <w:b/>
          <w:bCs/>
        </w:rPr>
        <w:t xml:space="preserve">This is the strongest competitive position available and the page currently buries it.</w:t>
      </w:r>
      <w:r>
        <w:t xml:space="preserve"> </w:t>
      </w:r>
      <w:r>
        <w:t xml:space="preserve">Anyone in Charlotte can sell chamber time out of a recovery bar. Four things only VYVE has:</w:t>
      </w:r>
    </w:p>
    <w:p>
      <w:pPr>
        <w:pStyle w:val="Compact"/>
        <w:numPr>
          <w:ilvl w:val="0"/>
          <w:numId w:val="1002"/>
        </w:numPr>
      </w:pPr>
      <w:r>
        <w:t xml:space="preserve">Dr. Haas on site. Board certified, physician led, not a wellness counter.</w:t>
      </w:r>
    </w:p>
    <w:p>
      <w:pPr>
        <w:pStyle w:val="Compact"/>
        <w:numPr>
          <w:ilvl w:val="0"/>
          <w:numId w:val="1002"/>
        </w:numPr>
      </w:pPr>
      <w:r>
        <w:t xml:space="preserve">The consultation is included in the $147, not sold as an upsell. The patient is not buying chamber time, they are buying a clinician’s read on why they feel the way they do.</w:t>
      </w:r>
    </w:p>
    <w:p>
      <w:pPr>
        <w:pStyle w:val="Compact"/>
        <w:numPr>
          <w:ilvl w:val="0"/>
          <w:numId w:val="1002"/>
        </w:numPr>
      </w:pPr>
      <w:r>
        <w:t xml:space="preserve">The patient leaves with a plan on paper. An HRV baseline and a personalised hyperbaric plan. A session rental business cannot produce this.</w:t>
      </w:r>
    </w:p>
    <w:p>
      <w:pPr>
        <w:pStyle w:val="Compact"/>
        <w:numPr>
          <w:ilvl w:val="0"/>
          <w:numId w:val="1002"/>
        </w:numPr>
      </w:pPr>
      <w:r>
        <w:t xml:space="preserve">The patient is screened before going in. Safety framed as a benefit, not as a disclaimer.</w:t>
      </w:r>
    </w:p>
    <w:p>
      <w:pPr>
        <w:pStyle w:val="FirstParagraph"/>
      </w:pPr>
      <w:r>
        <w:rPr>
          <w:b/>
          <w:bCs/>
        </w:rPr>
        <w:t xml:space="preserve">The line: anyone can sell you a session. Nobody else builds you a plan.</w:t>
      </w:r>
    </w:p>
    <w:p>
      <w:pPr>
        <w:pStyle w:val="Heading1"/>
      </w:pPr>
      <w:r>
        <w:t xml:space="preserve">Reviews</w:t>
      </w:r>
    </w:p>
    <w:p>
      <w:pPr>
        <w:pStyle w:val="FirstParagraph"/>
      </w:pPr>
      <w:r>
        <w:t xml:space="preserve">Two are needed, with signed releases. What makes a review usable on this page: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Experience, never diagnosis.</w:t>
      </w:r>
      <w:r>
        <w:t xml:space="preserve"> </w:t>
      </w:r>
      <w:r>
        <w:t xml:space="preserve">“I had more energy by week two”</w:t>
      </w:r>
      <w:r>
        <w:t xml:space="preserve"> </w:t>
      </w:r>
      <w:r>
        <w:t xml:space="preserve">works. A named condition being resolved cannot go on the page.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Split them across the benefit list.</w:t>
      </w:r>
      <w:r>
        <w:t xml:space="preserve"> </w:t>
      </w:r>
      <w:r>
        <w:t xml:space="preserve">One covering recovery or aches, one covering clarity or energy. Both current reviews sit in the clarity half, which leaves the top of the benefit order unproven.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First name, photo or initials, and what brought them in.</w:t>
      </w:r>
      <w:r>
        <w:t xml:space="preserve"> </w:t>
      </w:r>
      <w:r>
        <w:t xml:space="preserve">The reason for coming persuades more than the outcome, because it tells the reader that this is them.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existing Lyme review cannot carry over</w:t>
      </w:r>
      <w:r>
        <w:t xml:space="preserve"> </w:t>
      </w:r>
      <w:r>
        <w:t xml:space="preserve">in any edited form.</w:t>
      </w:r>
    </w:p>
    <w:p>
      <w:pPr>
        <w:pStyle w:val="FirstParagraph"/>
      </w:pPr>
      <w:r>
        <w:rPr>
          <w:b/>
          <w:bCs/>
        </w:rPr>
        <w:t xml:space="preserve">Existing Google reviews are the cheapest source.</w:t>
      </w:r>
      <w:r>
        <w:t xml:space="preserve"> </w:t>
      </w:r>
      <w:r>
        <w:t xml:space="preserve">If any already say the right thing, the clinic asks those patients for permission rather than sourcing testimonials from scratch.</w:t>
      </w:r>
    </w:p>
    <w:p>
      <w:pPr>
        <w:pStyle w:val="Heading1"/>
      </w:pPr>
      <w:r>
        <w:t xml:space="preserve">Compliance guardrails</w:t>
      </w:r>
    </w:p>
    <w:p>
      <w:pPr>
        <w:pStyle w:val="FirstParagraph"/>
      </w:pPr>
      <w:r>
        <w:t xml:space="preserve">Applies to every ad, page and email in this funnel.</w:t>
      </w:r>
    </w:p>
    <w:tbl>
      <w:tblPr>
        <w:tblStyle w:val="Table"/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90" w:type="dxa"/>
          <w:left w:w="110" w:type="dxa"/>
          <w:bottom w:w="90" w:type="dxa"/>
          <w:right w:w="110" w:type="dxa"/>
        </w:tblCellMar>
        <w:tblLayout w:type="fixed"/>
        <w:tblLook w:val="0400"/>
      </w:tblPr>
      <w:tblGrid>
        <w:gridCol w:w="9360"/>
      </w:tblGrid>
      <w:tr>
        <w:trPr>
          <w:tblHeader w:val="1"/>
          <w:tblHeader w:val="on"/>
        </w:trPr>
        <w:tc>
          <w:tcPr>
            <w:tcW w:w="9360" w:type="dxa"/>
          </w:tcPr>
          <w:tcPr/>
          <w:p>
            <w:pPr>
              <w:pStyle w:val="Compact"/>
            </w:pPr>
            <w:r>
              <w:t xml:space="preserve">Rule</w:t>
            </w:r>
          </w:p>
        </w:tc>
        <w:tcPr>
          <w:tcW w:w="9360" w:type="dxa"/>
        </w:tcPr>
      </w:tr>
      <w:tr>
        <w:tc>
          <w:tcPr>
            <w:tcW w:w="9360" w:type="dxa"/>
          </w:tcPr>
          <w:tcPr/>
          <w:p>
            <w:pPr>
              <w:pStyle w:val="Compact"/>
            </w:pPr>
            <w:r>
              <w:t xml:space="preserve">Never cure, treat, heal, reverse or fix. Always support, recovery, and how you feel.</w:t>
            </w:r>
          </w:p>
        </w:tc>
        <w:tcPr>
          <w:tcW w:w="9360" w:type="dxa"/>
        </w:tcPr>
      </w:tr>
      <w:tr>
        <w:tc>
          <w:tcPr>
            <w:tcW w:w="9360" w:type="dxa"/>
          </w:tcPr>
          <w:tcPr/>
          <w:p>
            <w:pPr>
              <w:pStyle w:val="Compact"/>
            </w:pPr>
            <w:r>
              <w:t xml:space="preserve">“FDA-cleared”</w:t>
            </w:r>
            <w:r>
              <w:t xml:space="preserve"> </w:t>
            </w:r>
            <w:r>
              <w:t xml:space="preserve">describes the chamber, never the benefit. It never attaches to energy, focus or recovery.</w:t>
            </w:r>
          </w:p>
        </w:tc>
        <w:tcPr>
          <w:tcW w:w="9360" w:type="dxa"/>
        </w:tcPr>
      </w:tr>
      <w:tr>
        <w:tc>
          <w:tcPr>
            <w:tcW w:w="9360" w:type="dxa"/>
          </w:tcPr>
          <w:tcPr/>
          <w:p>
            <w:pPr>
              <w:pStyle w:val="Compact"/>
            </w:pPr>
            <w:r>
              <w:t xml:space="preserve">“Over 10,000 clinical studies”</w:t>
            </w:r>
            <w:r>
              <w:t xml:space="preserve"> </w:t>
            </w:r>
            <w:r>
              <w:t xml:space="preserve">needs a source or gets removed.</w:t>
            </w:r>
          </w:p>
        </w:tc>
        <w:tcPr>
          <w:tcW w:w="9360" w:type="dxa"/>
        </w:tcPr>
      </w:tr>
      <w:tr>
        <w:tc>
          <w:tcPr>
            <w:tcW w:w="9360" w:type="dxa"/>
          </w:tcPr>
          <w:tcPr/>
          <w:p>
            <w:pPr>
              <w:pStyle w:val="Compact"/>
            </w:pPr>
            <w:r>
              <w:t xml:space="preserve">No diagnostic framing in Meta ads.</w:t>
            </w:r>
            <w:r>
              <w:t xml:space="preserve"> </w:t>
            </w:r>
            <w:r>
              <w:t xml:space="preserve">“Tired of running on empty”</w:t>
            </w:r>
            <w:r>
              <w:t xml:space="preserve"> </w:t>
            </w:r>
            <w:r>
              <w:t xml:space="preserve">is out. Aspirational framing is in.</w:t>
            </w:r>
          </w:p>
        </w:tc>
        <w:tcPr>
          <w:tcW w:w="9360" w:type="dxa"/>
        </w:tcPr>
      </w:tr>
      <w:tr>
        <w:tc>
          <w:tcPr>
            <w:tcW w:w="9360" w:type="dxa"/>
          </w:tcPr>
          <w:tcPr/>
          <w:p>
            <w:pPr>
              <w:pStyle w:val="Compact"/>
            </w:pPr>
            <w:r>
              <w:t xml:space="preserve">Every page carries: Individual results vary. This is a wellness service and is not a substitute for medical care.</w:t>
            </w:r>
          </w:p>
        </w:tc>
        <w:tcPr>
          <w:tcW w:w="9360" w:type="dxa"/>
        </w:tcPr>
      </w:tr>
    </w:tbl>
    <w:p>
      <w:pPr>
        <w:pStyle w:val="Heading1"/>
      </w:pPr>
      <w:r>
        <w:t xml:space="preserve">The page in order</w:t>
      </w:r>
    </w:p>
    <w:p>
      <w:pPr>
        <w:pStyle w:val="Compact"/>
        <w:numPr>
          <w:ilvl w:val="0"/>
          <w:numId w:val="1004"/>
        </w:numPr>
      </w:pPr>
      <w:r>
        <w:t xml:space="preserve">Mechanism. Oxygen goes where blood cannot</w:t>
      </w:r>
    </w:p>
    <w:p>
      <w:pPr>
        <w:pStyle w:val="Compact"/>
        <w:numPr>
          <w:ilvl w:val="0"/>
          <w:numId w:val="1004"/>
        </w:numPr>
      </w:pPr>
      <w:r>
        <w:t xml:space="preserve">Benefits, ranked</w:t>
      </w:r>
    </w:p>
    <w:p>
      <w:pPr>
        <w:pStyle w:val="Compact"/>
        <w:numPr>
          <w:ilvl w:val="0"/>
          <w:numId w:val="1004"/>
        </w:numPr>
      </w:pPr>
      <w:r>
        <w:t xml:space="preserve">Why this beats what you are already taking</w:t>
      </w:r>
    </w:p>
    <w:p>
      <w:pPr>
        <w:pStyle w:val="Compact"/>
        <w:numPr>
          <w:ilvl w:val="0"/>
          <w:numId w:val="1004"/>
        </w:numPr>
      </w:pPr>
      <w:r>
        <w:t xml:space="preserve">Who it is for, and who it is not for</w:t>
      </w:r>
    </w:p>
    <w:p>
      <w:pPr>
        <w:pStyle w:val="Compact"/>
        <w:numPr>
          <w:ilvl w:val="0"/>
          <w:numId w:val="1004"/>
        </w:numPr>
      </w:pPr>
      <w:r>
        <w:t xml:space="preserve">Physician led. The plan, not just the session</w:t>
      </w:r>
    </w:p>
    <w:p>
      <w:pPr>
        <w:pStyle w:val="Compact"/>
        <w:numPr>
          <w:ilvl w:val="0"/>
          <w:numId w:val="1004"/>
        </w:numPr>
      </w:pPr>
      <w:r>
        <w:t xml:space="preserve">Reviews</w:t>
      </w:r>
    </w:p>
    <w:p>
      <w:pPr>
        <w:pStyle w:val="Compact"/>
        <w:numPr>
          <w:ilvl w:val="0"/>
          <w:numId w:val="1004"/>
        </w:numPr>
      </w:pPr>
      <w:r>
        <w:t xml:space="preserve">The offer, the guarantee, and how it works</w:t>
      </w:r>
    </w:p>
    <w:p>
      <w:pPr>
        <w:pStyle w:val="Heading1"/>
      </w:pPr>
      <w:r>
        <w:t xml:space="preserve">What we need from the clinic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Sign off on the mechanism description.</w:t>
      </w:r>
      <w:r>
        <w:t xml:space="preserve"> </w:t>
      </w:r>
      <w:r>
        <w:t xml:space="preserve">The six beats above anchor the entire page.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Rank the benefits.</w:t>
      </w:r>
      <w:r>
        <w:t xml:space="preserve"> </w:t>
      </w:r>
      <w:r>
        <w:t xml:space="preserve">Specifically, which benefit does Dr. Haas see most often in his own patients.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Confirm the who it is for list, and supply the who it is not for line.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Dr. Haas bio, photo, and how he wants his credentials stated.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Two testimonials with signed releases,</w:t>
      </w:r>
      <w:r>
        <w:t xml:space="preserve"> </w:t>
      </w:r>
      <w:r>
        <w:t xml:space="preserve">ideally one physical and one cognitive.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Confirm the chamber facts</w:t>
      </w:r>
      <w:r>
        <w:t xml:space="preserve"> </w:t>
      </w:r>
      <w:r>
        <w:t xml:space="preserve">still marked unverified. Mask or no mask, whether staff can speak to the patient during a session, and whether a phone can be taken in.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Agree the compliance ceiling</w:t>
      </w:r>
      <w:r>
        <w:t xml:space="preserve"> </w:t>
      </w:r>
      <w:r>
        <w:t xml:space="preserve">so copy is written once rather than twice.</w:t>
      </w:r>
    </w:p>
    <w:p>
      <w:pPr>
        <w:pStyle w:val="FirstParagraph"/>
      </w:pPr>
      <w:r>
        <w:t xml:space="preserve">Prepared by AVIP.</w:t>
      </w:r>
    </w:p>
    <w:sectPr>
      <w:pgSz w:h="15840" w:orient="portrait" w:w="12240"/>
      <w:pgMar w:bottom="1440" w:footer="720" w:header="720" w:left="1440" w:right="1440" w:top="14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hudu">
    <w:embedRegular w:fontKey="{00000000-0000-0000-0000-000000000000}" r:id="rId5" w:subsetted="0"/>
    <w:embedBold w:fontKey="{00000000-0000-0000-0000-000000000000}" r:id="rId6" w:subsetted="0"/>
  </w:font>
  <w:font w:name="Phudu Black">
    <w:embedBold w:fontKey="{00000000-0000-0000-0000-000000000000}" r:id="rId7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decimal"/>
      <w:lvlText w:val="%1."/>
      <w:lvlJc w:val="left"/>
      <w:pPr>
        <w:ind w:hanging="360" w:left="60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■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■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■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■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hanging="360" w:left="60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■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■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■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■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hanging="360" w:left="60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■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■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■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■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Figtree" w:cs="Figtree" w:eastAsia="Figtree" w:hAnsi="Figtree"/>
        <w:sz w:val="24"/>
        <w:szCs w:val="24"/>
        <w:lang w:val="en"/>
      </w:rPr>
    </w:rPrDefault>
    <w:pPrDefault>
      <w:pPr>
        <w:spacing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hudu" w:cs="Phudu" w:eastAsia="Phudu" w:hAnsi="Phudu"/>
      <w:b w:val="1"/>
      <w:bCs w:val="1"/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hudu" w:cs="Phudu" w:eastAsia="Phudu" w:hAnsi="Phudu"/>
      <w:b w:val="1"/>
      <w:bCs w:val="1"/>
      <w:color w:val="666666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Phudu" w:cs="Phudu" w:eastAsia="Phudu" w:hAnsi="Phudu"/>
      <w:b w:val="1"/>
      <w:bCs w:val="1"/>
      <w:color w:val="434343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spacing w:after="40" w:before="240" w:lineRule="auto"/>
    </w:pPr>
    <w:rPr>
      <w:rFonts w:ascii="Phudu" w:cs="Phudu" w:eastAsia="Phudu" w:hAnsi="Phudu"/>
      <w:b w:val="1"/>
      <w:bCs w:val="1"/>
      <w:color w:val="999999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spacing w:after="60" w:lineRule="auto"/>
    </w:pPr>
    <w:rPr>
      <w:rFonts w:ascii="Phudu" w:cs="Phudu" w:eastAsia="Phudu" w:hAnsi="Phudu"/>
      <w:b w:val="1"/>
      <w:bCs w:val="1"/>
      <w:sz w:val="52"/>
      <w:szCs w:val="52"/>
    </w:rPr>
  </w:style>
  <w:style w:styleId="Subtitle" w:type="paragraph">
    <w:name w:val="Subtitle"/>
    <w:basedOn w:val="Normal"/>
    <w:next w:val="Normal"/>
    <w:pPr>
      <w:keepNext w:val="1"/>
      <w:keepLines w:val="1"/>
      <w:spacing w:after="320" w:lineRule="auto"/>
    </w:pPr>
    <w:rPr>
      <w:rFonts w:ascii="Phudu" w:cs="Phudu" w:eastAsia="Phudu" w:hAnsi="Phudu"/>
      <w:color w:val="666666"/>
      <w:sz w:val="30"/>
      <w:szCs w:val="30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5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6" w:type="table">
    <w:basedOn w:val="TableNormal"/>
    <w:tblPr>
      <w:tblStyleRowBandSize w:val="1"/>
      <w:tblStyleColBandSize w:val="1"/>
    </w:tblPr>
  </w:style>
  <w:style w:styleId="Table7" w:type="table">
    <w:basedOn w:val="TableNormal"/>
    <w:tblPr>
      <w:tblStyleRowBandSize w:val="1"/>
      <w:tblStyleColBandSize w:val="1"/>
    </w:tblPr>
  </w:style>
  <w:style w:styleId="Table8" w:type="table">
    <w:basedOn w:val="TableNormal"/>
    <w:tblPr>
      <w:tblStyleRowBandSize w:val="1"/>
      <w:tblStyleColBandSize w:val="1"/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styleId="BlockText" w:type="paragraph">
    <w:name w:val="Block Text"/>
    <w:basedOn w:val="Normal"/>
    <w:pPr>
      <w:spacing w:after="200" w:before="120"/>
      <w:ind w:left="0"/>
    </w:pPr>
    <w:rPr>
      <w:b/>
      <w:sz w:val="22"/>
    </w:rPr>
  </w:style>
  <w:style w:styleId="Compact" w:type="paragraph">
    <w:name w:val="Compact"/>
    <w:basedOn w:val="Normal"/>
    <w:pPr>
      <w:spacing w:after="80" w:before="0"/>
    </w:pPr>
  </w:style>
  <w:style w:styleId="BodyText" w:type="paragraph">
    <w:name w:val="Body Text"/>
    <w:basedOn w:val="Normal"/>
    <w:pPr>
      <w:spacing w:after="120"/>
    </w:pPr>
  </w:style>
  <w:style w:styleId="FirstParagraph" w:type="paragraph">
    <w:name w:val="First Paragraph"/>
    <w:basedOn w:val="Normal"/>
    <w:pPr>
      <w:spacing w:after="1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Relationship Id="rId5" Type="http://schemas.openxmlformats.org/officeDocument/2006/relationships/font" Target="fonts/Phudu-regular.ttf"/><Relationship Id="rId6" Type="http://schemas.openxmlformats.org/officeDocument/2006/relationships/font" Target="fonts/Phudu-bold.ttf"/><Relationship Id="rId7" Type="http://schemas.openxmlformats.org/officeDocument/2006/relationships/font" Target="fonts/PhuduBlack-bold.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2026-08-28T15:56:06Z</dcterms:created>
  <dcterms:modified xsi:type="dcterms:W3CDTF">2026-08-28T15:56:06Z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