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18 Probing questions </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Tell me about yourself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are your reasons for moving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long have you been looking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How's it going so far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hasn’t worked for you in the home buying process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Have you seen anything you really like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Have you made any offers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Tell me about the ideal home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Then say, tell me more about that…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What's important to you about the location and community you choose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What's most important to you in buying a new home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and why is that important to you</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What's most important about the agent you choose to represent you</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What's your timing and how soon do you want to move in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What's your plan B in case this does not work out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price range are you looking in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Have you met with a lender and what have they told you</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Is there anyone else involved in the home buying process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I’ve asked you so many questions, what questions do you have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 these questions in any scenario to learn as much information as possible about the person you’re talking to. They’ll know you care when you ask them questions and seek to understand, not when you try to show how smart you are by telling them everything. </w:t>
      </w:r>
    </w:p>
    <w:p w:rsidR="00000000" w:rsidDel="00000000" w:rsidP="00000000" w:rsidRDefault="00000000" w:rsidRPr="00000000" w14:paraId="0000001C">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