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0F766E"/>
          <w:sz w:val="18"/>
        </w:rPr>
        <w:t>PROJETO GESTÃO DELIVERY  /  MARCA MESIVA</w:t>
      </w:r>
    </w:p>
    <w:p>
      <w:pPr>
        <w:spacing w:after="280"/>
      </w:pP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989320" cy="1864600"/>
            <wp:docPr id="1" name="Picture 1" descr="Recorte de referência do logotipo Mesiva escolhido: M arredondado verde-água com garfo e colher e detalhe amarel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referencia_recor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86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Reprodução do estudo escolhido. Não é arquivo final de produção.</w:t>
      </w:r>
    </w:p>
    <w:p>
      <w:pPr>
        <w:pStyle w:val="Title"/>
      </w:pPr>
      <w:r>
        <w:t>Guia oficial de</w:t>
        <w:br/>
        <w:t>identidade visual</w:t>
      </w:r>
    </w:p>
    <w:p>
      <w:pPr>
        <w:pStyle w:val="Subtitle"/>
      </w:pPr>
      <w:r>
        <w:t>Referência de marca e aplicação no produto</w:t>
      </w:r>
    </w:p>
    <w:p>
      <w:r>
        <w:t>Versão 1.0  •  Word editável e PDF de consulta</w:t>
      </w:r>
    </w:p>
    <w:p>
      <w:r>
        <w:t>Emissão: 23/09/2026</w:t>
      </w:r>
    </w:p>
    <w:p>
      <w:pPr>
        <w:spacing w:before="100" w:after="200"/>
        <w:shd w:fill="DFF7F1"/>
      </w:pPr>
      <w:r>
        <w:rPr>
          <w:b/>
          <w:color w:val="0F2747"/>
        </w:rPr>
        <w:t xml:space="preserve">Status: </w:t>
      </w:r>
      <w:r>
        <w:t>direção visual aprovada. O fechamento técnico do logotipo, a fonte exata e os arquivos finais continuam pendentes.</w:t>
      </w:r>
    </w:p>
    <w:p>
      <w:r>
        <w:t>Este guia consolida a linha escolhida para a Mesiva e orienta o desenvolvimento e as melhorias visuais do aplicativo. Seu uso não autoriza mudanças de comportamento, arquitetura, dados ou publicação em produção.</w:t>
      </w:r>
    </w:p>
    <w:p>
      <w:pPr>
        <w:pStyle w:val="Heading2"/>
      </w:pPr>
      <w:r>
        <w:t>Como consultar</w:t>
      </w:r>
    </w:p>
    <w:p>
      <w:r>
        <w:t>Use primeiro as regras deste documento. Consulte a base escolhida para intenção visual e os três refinamentos como apoio. O histórico serve apenas para rastrear a exploração, nunca para substituir a direção vigente.</w:t>
      </w:r>
    </w:p>
    <w:p>
      <w:hyperlink r:id="rId12">
        <w:r>
          <w:rPr>
            <w:color w:val="0F766E"/>
            <w:u w:val="single"/>
          </w:rPr>
          <w:t>Abrir a pasta oficial no Google Drive</w:t>
        </w:r>
      </w:hyperlink>
    </w:p>
    <w:p>
      <w:r>
        <w:t>Responsável pela aprovação: proprietário do projeto. Público: produto, design, desenvolvimento e colaboradores autorizados.</w:t>
      </w:r>
    </w:p>
    <w:p>
      <w:pPr>
        <w:spacing w:after="160"/>
        <w:pageBreakBefore/>
      </w:pPr>
      <w:r>
        <w:rPr>
          <w:b/>
          <w:color w:val="0F766E"/>
          <w:sz w:val="18"/>
        </w:rPr>
        <w:t>01  /  GUIA DE APLICAÇÃO</w:t>
      </w:r>
    </w:p>
    <w:p>
      <w:pPr>
        <w:pStyle w:val="Heading1"/>
      </w:pPr>
      <w:r>
        <w:t>Essência e assinatura da marca</w:t>
      </w:r>
    </w:p>
    <w:p>
      <w:pPr>
        <w:pStyle w:val="Heading2"/>
      </w:pPr>
      <w:r>
        <w:t>O que deve permanecer reconhecível</w:t>
      </w:r>
    </w:p>
    <w:p>
      <w:r>
        <w:t>Mesiva é a marca de referência para o produto de gestão de restaurantes. A identidade combina proximidade com quem opera o negócio, organização e tecnologia sem aparência fria ou excessivamente corporativa.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/>
          <w:cantSplit/>
        </w:trPr>
        <w:tc>
          <w:tcPr>
            <w:tcW w:type="dxa" w:w="1728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7704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Direção vigente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Nome</w:t>
            </w:r>
          </w:p>
        </w:tc>
        <w:tc>
          <w:tcPr>
            <w:tcW w:type="dxa" w:w="7704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Mesiva, com M maiúsculo e demais letras minúsculas no uso textual padrão.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Símbolo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M arredondado, com garfo e colher em espaço negativo e detalhe amarelo acima.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Personalidade</w:t>
            </w:r>
          </w:p>
        </w:tc>
        <w:tc>
          <w:tcPr>
            <w:tcW w:type="dxa" w:w="7704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Acolhedora, clara, moderna e profissional; não infantil e não excessivamente decorativa.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Paleta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Verde-água e azul-marinho como base; menta e fundos claros como apoio; amarelo como destaque.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Linguagem</w:t>
            </w:r>
          </w:p>
        </w:tc>
        <w:tc>
          <w:tcPr>
            <w:tcW w:type="dxa" w:w="7704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Português do Brasil no produto e no guia. Os textos em inglês dos estudos são ilustrativos.</w:t>
            </w:r>
          </w:p>
        </w:tc>
      </w:tr>
    </w:tbl>
    <w:p>
      <w:pPr>
        <w:spacing w:after="0"/>
      </w:pPr>
    </w:p>
    <w:p>
      <w:pPr>
        <w:pStyle w:val="Heading2"/>
      </w:pPr>
      <w:r>
        <w:t>Uso do logotipo</w:t>
      </w:r>
    </w:p>
    <w:p>
      <w:r>
        <w:t>Priorizar assinatura horizontal no acesso e nas áreas de apresentação da marca. Em espaços compactos, usar apenas o símbolo após seu fechamento técnico. Não esticar, rotacionar, redesenhar por aproximação nem combinar partes de variações diferentes.</w:t>
      </w:r>
    </w:p>
    <w:p>
      <w:r>
        <w:t>Como regra provisória de composição, reservar área livre de pelo menos 25% da altura do símbolo em todos os lados. A área de proteção definitiva e os limites mínimos devem ser validados no arquivo vetorial final.</w:t>
      </w:r>
    </w:p>
    <w:p>
      <w:r>
        <w:t>A assinatura com slogan não deve aparecer quando o texto ficar ilegível. Testar o símbolo em 16, 24, 32 e 48 px; os detalhes dos talheres podem exigir uma versão reduzida específica, que ainda não foi aprovada.</w:t>
      </w:r>
    </w:p>
    <w:p>
      <w:pPr>
        <w:pStyle w:val="Heading2"/>
      </w:pPr>
      <w:r>
        <w:t>Tipografia e linguagem</w:t>
      </w:r>
    </w:p>
    <w:p>
      <w:r>
        <w:t>A referência usa letras sem serifa, arredondadas e de peso expressivo. A família tipográfica exata do logotipo não foi identificada nem aprovada. Não reconstruir a marca digitando “Mesiva” em uma fonte parecida.</w:t>
      </w:r>
    </w:p>
    <w:p>
      <w:r>
        <w:t>Para a interface, manter a fonte funcional vigente até uma mudança explícita e homologada. Priorizar leitura de valores, nomes e estados. “Gestão para restaurantes” pode ser usado como descritor; o slogan comercial definitivo permanece em aberto.</w:t>
      </w:r>
    </w:p>
    <w:p>
      <w:pPr>
        <w:spacing w:after="160"/>
        <w:pageBreakBefore/>
      </w:pPr>
      <w:r>
        <w:rPr>
          <w:b/>
          <w:color w:val="0F766E"/>
          <w:sz w:val="18"/>
        </w:rPr>
        <w:t>02  /  GUIA DE APLICAÇÃO</w:t>
      </w:r>
    </w:p>
    <w:p>
      <w:pPr>
        <w:pStyle w:val="Heading1"/>
      </w:pPr>
      <w:r>
        <w:t>Paleta e contraste</w:t>
      </w:r>
    </w:p>
    <w:p>
      <w:r>
        <w:t>Os valores abaixo são a referência cromática v1.0, transcritos dos rótulos dos painéis escolhidos. Prevalecem sobre tons estimados com conta-gotas: imagens geradas, antialiasing e compressão podem produzir variações visuais.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/>
          <w:cantSplit/>
        </w:trPr>
        <w:tc>
          <w:tcPr>
            <w:tcW w:type="dxa" w:w="2376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Cor</w:t>
            </w:r>
          </w:p>
        </w:tc>
        <w:tc>
          <w:tcPr>
            <w:tcW w:type="dxa" w:w="1656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Hexadecimal</w:t>
            </w:r>
          </w:p>
        </w:tc>
        <w:tc>
          <w:tcPr>
            <w:tcW w:type="dxa" w:w="5400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Uso de referência</w:t>
            </w:r>
          </w:p>
        </w:tc>
      </w:tr>
      <w:tr>
        <w:trPr>
          <w:cantSplit/>
        </w:trPr>
        <w:tc>
          <w:tcPr>
            <w:tcW w:type="dxa" w:w="237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Verde-água Mesiva</w:t>
            </w:r>
          </w:p>
        </w:tc>
        <w:tc>
          <w:tcPr>
            <w:tcW w:type="dxa" w:w="165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4B8A6"/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0F2747"/>
                <w:sz w:val="19"/>
              </w:rPr>
              <w:t>#14B8A6</w:t>
            </w:r>
          </w:p>
        </w:tc>
        <w:tc>
          <w:tcPr>
            <w:tcW w:type="dxa" w:w="5400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Marca, detalhes e áreas de destaque.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Azul-marinho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0F2747"/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#0F2747</w:t>
            </w:r>
          </w:p>
        </w:tc>
        <w:tc>
          <w:tcPr>
            <w:tcW w:type="dxa" w:w="54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Texto forte, assinatura e contraste.</w:t>
            </w:r>
          </w:p>
        </w:tc>
      </w:tr>
      <w:tr>
        <w:trPr>
          <w:cantSplit/>
        </w:trPr>
        <w:tc>
          <w:tcPr>
            <w:tcW w:type="dxa" w:w="237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Menta</w:t>
            </w:r>
          </w:p>
        </w:tc>
        <w:tc>
          <w:tcPr>
            <w:tcW w:type="dxa" w:w="165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FF7F1"/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0F2747"/>
                <w:sz w:val="19"/>
              </w:rPr>
              <w:t>#DFF7F1</w:t>
            </w:r>
          </w:p>
        </w:tc>
        <w:tc>
          <w:tcPr>
            <w:tcW w:type="dxa" w:w="5400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Fundos de apoio e destaques suaves.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Amarelo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BBF24"/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0F2747"/>
                <w:sz w:val="19"/>
              </w:rPr>
              <w:t>#FBBF24</w:t>
            </w:r>
          </w:p>
        </w:tc>
        <w:tc>
          <w:tcPr>
            <w:tcW w:type="dxa" w:w="54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Acento pontual; não assumir significado de alerta.</w:t>
            </w:r>
          </w:p>
        </w:tc>
      </w:tr>
      <w:tr>
        <w:trPr>
          <w:cantSplit/>
        </w:trPr>
        <w:tc>
          <w:tcPr>
            <w:tcW w:type="dxa" w:w="237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Nuvem</w:t>
            </w:r>
          </w:p>
        </w:tc>
        <w:tc>
          <w:tcPr>
            <w:tcW w:type="dxa" w:w="165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0F2747"/>
                <w:sz w:val="19"/>
              </w:rPr>
              <w:t>#F8FAFC</w:t>
            </w:r>
          </w:p>
        </w:tc>
        <w:tc>
          <w:tcPr>
            <w:tcW w:type="dxa" w:w="5400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Fundo neutro complementar.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Branco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0F2747"/>
                <w:sz w:val="19"/>
              </w:rPr>
              <w:t>#FFFFFF</w:t>
            </w:r>
          </w:p>
        </w:tc>
        <w:tc>
          <w:tcPr>
            <w:tcW w:type="dxa" w:w="54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Superfícies e contraste de apoio.</w:t>
            </w:r>
          </w:p>
        </w:tc>
      </w:tr>
    </w:tbl>
    <w:p>
      <w:pPr>
        <w:spacing w:after="0"/>
      </w:pPr>
    </w:p>
    <w:p>
      <w:pPr>
        <w:pStyle w:val="Heading2"/>
      </w:pPr>
      <w:r>
        <w:t>Combinações calculadas para a UI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/>
          <w:cantSplit/>
        </w:trPr>
        <w:tc>
          <w:tcPr>
            <w:tcW w:type="dxa" w:w="4680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Texto / fundo</w:t>
            </w:r>
          </w:p>
        </w:tc>
        <w:tc>
          <w:tcPr>
            <w:tcW w:type="dxa" w:w="1944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Contraste</w:t>
            </w:r>
          </w:p>
        </w:tc>
        <w:tc>
          <w:tcPr>
            <w:tcW w:type="dxa" w:w="2808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Texto normal</w:t>
            </w:r>
          </w:p>
        </w:tc>
      </w:tr>
      <w:tr>
        <w:trPr>
          <w:cantSplit/>
        </w:trPr>
        <w:tc>
          <w:tcPr>
            <w:tcW w:type="dxa" w:w="4680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Marinho / branco</w:t>
            </w:r>
          </w:p>
        </w:tc>
        <w:tc>
          <w:tcPr>
            <w:tcW w:type="dxa" w:w="1944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14,98:1</w:t>
            </w:r>
          </w:p>
        </w:tc>
        <w:tc>
          <w:tcPr>
            <w:tcW w:type="dxa" w:w="2808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Adequado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Marinho / verde-água</w:t>
            </w:r>
          </w:p>
        </w:tc>
        <w:tc>
          <w:tcPr>
            <w:tcW w:type="dxa" w:w="19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6,02:1</w:t>
            </w:r>
          </w:p>
        </w:tc>
        <w:tc>
          <w:tcPr>
            <w:tcW w:type="dxa" w:w="28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Adequado</w:t>
            </w:r>
          </w:p>
        </w:tc>
      </w:tr>
      <w:tr>
        <w:trPr>
          <w:cantSplit/>
        </w:trPr>
        <w:tc>
          <w:tcPr>
            <w:tcW w:type="dxa" w:w="4680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Marinho / menta</w:t>
            </w:r>
          </w:p>
        </w:tc>
        <w:tc>
          <w:tcPr>
            <w:tcW w:type="dxa" w:w="1944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13,35:1</w:t>
            </w:r>
          </w:p>
        </w:tc>
        <w:tc>
          <w:tcPr>
            <w:tcW w:type="dxa" w:w="2808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Adequado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Marinho / amarelo</w:t>
            </w:r>
          </w:p>
        </w:tc>
        <w:tc>
          <w:tcPr>
            <w:tcW w:type="dxa" w:w="19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8,98:1</w:t>
            </w:r>
          </w:p>
        </w:tc>
        <w:tc>
          <w:tcPr>
            <w:tcW w:type="dxa" w:w="28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Adequado</w:t>
            </w:r>
          </w:p>
        </w:tc>
      </w:tr>
      <w:tr>
        <w:trPr>
          <w:cantSplit/>
        </w:trPr>
        <w:tc>
          <w:tcPr>
            <w:tcW w:type="dxa" w:w="4680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Branco / verde-água</w:t>
            </w:r>
          </w:p>
        </w:tc>
        <w:tc>
          <w:tcPr>
            <w:tcW w:type="dxa" w:w="1944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2,49:1</w:t>
            </w:r>
          </w:p>
        </w:tc>
        <w:tc>
          <w:tcPr>
            <w:tcW w:type="dxa" w:w="2808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Não usar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Branco / amarelo</w:t>
            </w:r>
          </w:p>
        </w:tc>
        <w:tc>
          <w:tcPr>
            <w:tcW w:type="dxa" w:w="19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1,67:1</w:t>
            </w:r>
          </w:p>
        </w:tc>
        <w:tc>
          <w:tcPr>
            <w:tcW w:type="dxa" w:w="28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Não usar</w:t>
            </w:r>
          </w:p>
        </w:tc>
      </w:tr>
    </w:tbl>
    <w:p>
      <w:pPr>
        <w:spacing w:after="0"/>
      </w:pPr>
    </w:p>
    <w:p>
      <w:pPr>
        <w:pStyle w:val="Caption"/>
      </w:pPr>
      <w:r>
        <w:t>Cálculo em sRGB, cores opacas e sólidas. Valores exibidos arredondados; a decisão foi feita com precisão integral. Não representa certificação de acessibilidade do aplicativo.</w:t>
      </w:r>
    </w:p>
    <w:p>
      <w:pPr>
        <w:spacing w:before="100" w:after="200"/>
        <w:shd w:fill="DFF7F1"/>
      </w:pPr>
      <w:r>
        <w:rPr>
          <w:b/>
          <w:color w:val="0F2747"/>
        </w:rPr>
        <w:t xml:space="preserve">Atenção: </w:t>
      </w:r>
      <w:r>
        <w:t>branco sobre o verde-água principal ou sobre o amarelo não atende ao contraste mínimo de texto normal. Preferir marinho; qualquer tom funcional derivado exige validação.</w:t>
      </w:r>
    </w:p>
    <w:p>
      <w:r>
        <w:t>Meta de UI: pelo menos 4,5:1 para texto normal; 3:1 para texto grande nas condições do critério WCAG; 3:1 para elementos não textuais necessários à identificação de controles e estados. Ver fontes W3C na seção 6.</w:t>
      </w:r>
    </w:p>
    <w:p>
      <w:pPr>
        <w:spacing w:after="160"/>
        <w:pageBreakBefore/>
      </w:pPr>
      <w:r>
        <w:rPr>
          <w:b/>
          <w:color w:val="0F766E"/>
          <w:sz w:val="18"/>
        </w:rPr>
        <w:t>03  /  GUIA DE APLICAÇÃO</w:t>
      </w:r>
    </w:p>
    <w:p>
      <w:pPr>
        <w:pStyle w:val="Heading1"/>
      </w:pPr>
      <w:r>
        <w:t>Aplicação no aplicativo</w:t>
      </w:r>
    </w:p>
    <w:p>
      <w:pPr>
        <w:pStyle w:val="Heading2"/>
      </w:pPr>
      <w:r>
        <w:t>Temas claro e escuro</w:t>
      </w:r>
    </w:p>
    <w:p>
      <w:r>
        <w:t>No tema claro, priorizar superfícies claras e texto marinho. No tema escuro, usar superfícies escuras e texto claro com contraste validado. Navegação lateral, modais, menus, tooltips e notificações devem acompanhar o tema selecionado, não apenas o conteúdo central.</w:t>
      </w:r>
    </w:p>
    <w:p>
      <w:r>
        <w:t>Não inverter o logo por filtro CSS nem recolori-lo livremente. A versão para fundo escuro deve preservar a identidade e será fechada como ativo próprio. Os exemplos de app icon dos painéis são referências, não exportações prontas.</w:t>
      </w:r>
    </w:p>
    <w:p>
      <w:pPr>
        <w:pStyle w:val="Heading2"/>
      </w:pPr>
      <w:r>
        <w:t>Marca não é estado operacional</w:t>
      </w:r>
    </w:p>
    <w:p>
      <w:r>
        <w:t>Verde-água comunica identidade; não deve significar automaticamente “sucesso”. Amarelo é acento; não deve se confundir com “atenção”. Manter tokens semânticos separados para sucesso, erro, alerta, informação, foco e seleção.</w:t>
      </w:r>
    </w:p>
    <w:p>
      <w:r>
        <w:t>Na cozinha e na fila de impressão, diferenciar estados com texto e ícone, além de cor. Preservar destaque e confirmação de ações destrutivas, como descartar jobs. A identidade não deve mascarar falhas, pendências ou condições offline.</w:t>
      </w:r>
    </w:p>
    <w:p>
      <w:pPr>
        <w:pStyle w:val="Heading2"/>
      </w:pPr>
      <w:r>
        <w:t>Composição e componentes</w:t>
      </w:r>
    </w:p>
    <w:p>
      <w:r>
        <w:t>Usar formas arredondadas, espaçamento consistente e hierarquia clara, sem aplicar o aspecto de campanha publicitária a todas as telas. Nas áreas operacionais, priorizar densidade útil, leitura rápida e ações fáceis de localizar.</w:t>
      </w:r>
    </w:p>
    <w:p>
      <w:r>
        <w:t>Orientação inicial: compor espaçamentos em múltiplos de 4 px, respeitando os tokens existentes. Não introduzir novos valores por componente sem necessidade. Usar bordas e sombras discretas; evitar degradês decorativos atrás de dados e tabelas.</w:t>
      </w:r>
    </w:p>
    <w:p>
      <w:r>
        <w:t>Em desktop, proteger a largura de nomes de formas de pagamento, valores e menus. Em mobile, permitir quebra ou reorganização sem esconder informação. Para botões principais de toque, adotar 44 × 44 CSS px como meta interna de conforto; isso não substitui a avaliação do critério WCAG 2.5.8, que tem mínimo de 24 × 24 e exceções específicas.</w:t>
      </w:r>
    </w:p>
    <w:p>
      <w:pPr>
        <w:pStyle w:val="Heading2"/>
      </w:pPr>
      <w:r>
        <w:t>Texto e imagens</w:t>
      </w:r>
    </w:p>
    <w:p>
      <w:r>
        <w:t>Mensagens curtas, diretas e em português. Usar os termos já conhecidos pelo operador. Evitar palavras em inglês de mockup, slogans em ações operacionais e números demonstrativos copiados dos painéis. Fotografias dos estudos são ilustrações geradas, não retratos da equipe nem depoimentos reais.</w:t>
      </w:r>
    </w:p>
    <w:p>
      <w:pPr>
        <w:spacing w:after="160"/>
        <w:pageBreakBefore/>
      </w:pPr>
      <w:r>
        <w:rPr>
          <w:b/>
          <w:color w:val="0F766E"/>
          <w:sz w:val="18"/>
        </w:rPr>
        <w:t>04  /  GUIA DE APLICAÇÃO</w:t>
      </w:r>
    </w:p>
    <w:p>
      <w:pPr>
        <w:pStyle w:val="Heading1"/>
      </w:pPr>
      <w:r>
        <w:t>Referência para desenvolvimento</w:t>
      </w:r>
    </w:p>
    <w:p>
      <w:pPr>
        <w:spacing w:before="100" w:after="200"/>
        <w:shd w:fill="DFF7F1"/>
      </w:pPr>
      <w:r>
        <w:rPr>
          <w:b/>
          <w:color w:val="0F2747"/>
        </w:rPr>
        <w:t xml:space="preserve">Regra de trabalho: </w:t>
      </w:r>
      <w:r>
        <w:t>antes de desenhar ou alterar uma interface, consultar o guia vigente, indicar a versão utilizada e verificar a referência visual escolhida. O guia define apresentação; as especificações funcionais e a arquitetura continuam determinando comportamento.</w:t>
      </w:r>
    </w:p>
    <w:p>
      <w:pPr>
        <w:pStyle w:val="Heading2"/>
      </w:pPr>
      <w:r>
        <w:t>Implementar por mudanças pequenas</w:t>
      </w:r>
    </w:p>
    <w:p>
      <w:r>
        <w:t>Mapear a identidade para os tokens e componentes existentes. Não colar valores de cor repetidos por tela, introduzir uma biblioteca de UI paralela nem substituir a navegação por causa dos mockups. Os arquivos em “Desenvolvimento e UI” são referências de marca, não um tema completo pronto para importar.</w:t>
      </w:r>
    </w:p>
    <w:p>
      <w:r>
        <w:t>Manter o fluxo do projeto: branch de trabalho, validações automatizadas, staging, homologação, merge autorizado e publicação em produção separada. Adotar este documento não altera o sistema automaticamente.</w:t>
      </w:r>
    </w:p>
    <w:p>
      <w:pPr>
        <w:pStyle w:val="Heading2"/>
      </w:pPr>
      <w:r>
        <w:t>Checklist visual de homologação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/>
          <w:cantSplit/>
        </w:trPr>
        <w:tc>
          <w:tcPr>
            <w:tcW w:type="dxa" w:w="1728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Verificação</w:t>
            </w:r>
          </w:p>
        </w:tc>
        <w:tc>
          <w:tcPr>
            <w:tcW w:type="dxa" w:w="7704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Critério de aceite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Marca</w:t>
            </w:r>
          </w:p>
        </w:tc>
        <w:tc>
          <w:tcPr>
            <w:tcW w:type="dxa" w:w="7704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Nome correto, proporção preservada e ativo adequado ao contexto.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Claro / escuro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Todos os elementos da tela acompanham o tema; não há bordas ou ícones “sobrando”.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Leitura</w:t>
            </w:r>
          </w:p>
        </w:tc>
        <w:tc>
          <w:tcPr>
            <w:tcW w:type="dxa" w:w="7704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Contraste medido; texto e valores não são cortados em larguras representativas.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Interação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Foco visível, teclado utilizável e alvos de toque confortáveis.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Estados</w:t>
            </w:r>
          </w:p>
        </w:tc>
        <w:tc>
          <w:tcPr>
            <w:tcW w:type="dxa" w:w="7704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Loading, vazio, erro, offline e desabilitado distinguíveis e compreensíveis.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Navegação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Sem regressão no topo da página, links diretos, F5 e abertura de menus.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Operação</w:t>
            </w:r>
          </w:p>
        </w:tc>
        <w:tc>
          <w:tcPr>
            <w:tcW w:type="dxa" w:w="7704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Cozinha, comandas, financeiro e impressão preservam significado e prioridades.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Responsividade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Desktop e mobile verificados; TV validada quando a mudança atingir essa superfície.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Evidência</w:t>
            </w:r>
          </w:p>
        </w:tc>
        <w:tc>
          <w:tcPr>
            <w:tcW w:type="dxa" w:w="7704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Capturas e resultados vinculados à mudança e ao SHA homologado.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Liberação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Nenhuma mudança visual publica em produção por consequência deste guia.</w:t>
            </w:r>
          </w:p>
        </w:tc>
      </w:tr>
    </w:tbl>
    <w:p>
      <w:pPr>
        <w:spacing w:after="0"/>
      </w:pPr>
    </w:p>
    <w:p>
      <w:pPr>
        <w:pStyle w:val="Heading2"/>
      </w:pPr>
      <w:r>
        <w:t>Referência a registrar na especificação ou PR</w:t>
      </w:r>
    </w:p>
    <w:p>
      <w:r>
        <w:t>“Referência visual: Mesiva — Guia oficial de identidade visual e aplicação no produto, v1.0. Superfícies afetadas: [...]. Estados e temas verificados: [...]. Exceções aprovadas: [...].”</w:t>
      </w:r>
    </w:p>
    <w:p>
      <w:pPr>
        <w:spacing w:after="160"/>
        <w:pageBreakBefore/>
      </w:pPr>
      <w:r>
        <w:rPr>
          <w:b/>
          <w:color w:val="0F766E"/>
          <w:sz w:val="18"/>
        </w:rPr>
        <w:t>05  /  GUIA DE APLICAÇÃO</w:t>
      </w:r>
    </w:p>
    <w:p>
      <w:pPr>
        <w:pStyle w:val="Heading1"/>
      </w:pPr>
      <w:r>
        <w:t>Governança e arquivos finais</w:t>
      </w:r>
    </w:p>
    <w:p>
      <w:r>
        <w:t>Este é o documento oficial de referência visual do projeto. A oficialização consolida a direção escolhida; não transforma os PNGs em vetores nem resolve automaticamente questões de nome, domínio ou registro de marca.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/>
          <w:cantSplit/>
        </w:trPr>
        <w:tc>
          <w:tcPr>
            <w:tcW w:type="dxa" w:w="2376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7056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Situação nesta edição</w:t>
            </w:r>
          </w:p>
        </w:tc>
      </w:tr>
      <w:tr>
        <w:trPr>
          <w:cantSplit/>
        </w:trPr>
        <w:tc>
          <w:tcPr>
            <w:tcW w:type="dxa" w:w="237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Direção visual</w:t>
            </w:r>
          </w:p>
        </w:tc>
        <w:tc>
          <w:tcPr>
            <w:tcW w:type="dxa" w:w="705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Aprovada na conversa: linha amigável verde-água e primeira variação com M, garfo e colher.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Três refinamentos</w:t>
            </w:r>
          </w:p>
        </w:tc>
        <w:tc>
          <w:tcPr>
            <w:tcW w:type="dxa" w:w="70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Preservados como apoio ao fechamento; não misturar geometrias entre eles.</w:t>
            </w:r>
          </w:p>
        </w:tc>
      </w:tr>
      <w:tr>
        <w:trPr>
          <w:cantSplit/>
        </w:trPr>
        <w:tc>
          <w:tcPr>
            <w:tcW w:type="dxa" w:w="237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Paleta / aplicação</w:t>
            </w:r>
          </w:p>
        </w:tc>
        <w:tc>
          <w:tcPr>
            <w:tcW w:type="dxa" w:w="705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Regras de referência formalizadas nesta edição; integração no produto depende de homologação.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Vetor mestre / fonte do logo</w:t>
            </w:r>
          </w:p>
        </w:tc>
        <w:tc>
          <w:tcPr>
            <w:tcW w:type="dxa" w:w="70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Pendentes. Não foi entregue arquivo SVG autoral nem família tipográfica exata.</w:t>
            </w:r>
          </w:p>
        </w:tc>
      </w:tr>
      <w:tr>
        <w:trPr>
          <w:cantSplit/>
        </w:trPr>
        <w:tc>
          <w:tcPr>
            <w:tcW w:type="dxa" w:w="237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Claro / escuro / monocromático</w:t>
            </w:r>
          </w:p>
        </w:tc>
        <w:tc>
          <w:tcPr>
            <w:tcW w:type="dxa" w:w="705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Exigem exportações dedicadas a partir do mestre final.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Favicon / app icon</w:t>
            </w:r>
          </w:p>
        </w:tc>
        <w:tc>
          <w:tcPr>
            <w:tcW w:type="dxa" w:w="70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Exigem simplificação, exportação e testes em tamanho real.</w:t>
            </w:r>
          </w:p>
        </w:tc>
      </w:tr>
      <w:tr>
        <w:trPr>
          <w:cantSplit/>
        </w:trPr>
        <w:tc>
          <w:tcPr>
            <w:tcW w:type="dxa" w:w="237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Slogan / domínio / marca</w:t>
            </w:r>
          </w:p>
        </w:tc>
        <w:tc>
          <w:tcPr>
            <w:tcW w:type="dxa" w:w="705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Não confirmados como concluídos. Os textos e sinais ™ dos estudos não comprovam registro.</w:t>
            </w:r>
          </w:p>
        </w:tc>
      </w:tr>
    </w:tbl>
    <w:p>
      <w:pPr>
        <w:spacing w:after="0"/>
      </w:pPr>
    </w:p>
    <w:p>
      <w:pPr>
        <w:pStyle w:val="Heading2"/>
      </w:pPr>
      <w:r>
        <w:t>Pacote técnico necessário para produção</w:t>
      </w:r>
    </w:p>
    <w:p>
      <w:r>
        <w:t>Fechar uma geometria única. Produzir SVG mestre, assinatura horizontal, símbolo, versão negativa e monocromática, PNG transparente em resoluções úteis, favicon e ícones de aplicativo. Cada exportação deve registrar origem, versão, fundo previsto e limites de uso.</w:t>
      </w:r>
    </w:p>
    <w:p>
      <w:r>
        <w:t>Não renomear PNG para SVG e não publicar recorte do painel como logo final. Validar transparência, contornos, legibilidade em tamanho reduzido e impressão monocromática. Não incluir arquivos de fontes nesta pasta; registrar a família e sua licença após definição.</w:t>
      </w:r>
    </w:p>
    <w:p>
      <w:pPr>
        <w:pStyle w:val="Heading2"/>
      </w:pPr>
      <w:r>
        <w:t>Atualização e precedência</w:t>
      </w:r>
    </w:p>
    <w:p>
      <w:r>
        <w:t>Ordem de consulta: guia vigente → ativos finais aprovados → base escolhida e refinamentos → histórico. Uma divergência entre guia e ativo exige correção de versão antes do uso; não escolher silenciosamente a interpretação mais conveniente.</w:t>
      </w:r>
    </w:p>
    <w:p>
      <w:r>
        <w:t>Atualizar este mesmo documento para preservar o link. Incrementar versão, registrar o que mudou e obter aprovação antes de alterar logo, paleta ou tipografia. Guardar versões substituídas no histórico e marcar claramente que não são vigentes.</w:t>
      </w:r>
    </w:p>
    <w:p>
      <w:r>
        <w:t>Registro v1.0: consolidação inicial da direção escolhida, quatro referências, regras de aplicação, contrastes calculados e pendências técnicas. Nenhum código, domínio, deploy ou permissão de compartilhamento foi alterado por esta documentação.</w:t>
      </w:r>
    </w:p>
    <w:p>
      <w:pPr>
        <w:spacing w:after="160"/>
        <w:pageBreakBefore/>
      </w:pPr>
      <w:r>
        <w:rPr>
          <w:b/>
          <w:color w:val="0F766E"/>
          <w:sz w:val="18"/>
        </w:rPr>
        <w:t>06  /  GUIA DE APLICAÇÃO</w:t>
      </w:r>
    </w:p>
    <w:p>
      <w:pPr>
        <w:pStyle w:val="Heading1"/>
      </w:pPr>
      <w:r>
        <w:t>Acervo e fontes de consulta</w:t>
      </w:r>
    </w:p>
    <w:p>
      <w:pPr>
        <w:pStyle w:val="Heading2"/>
      </w:pPr>
      <w:r>
        <w:t>Estrutura oficial no Drive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/>
          <w:cantSplit/>
        </w:trPr>
        <w:tc>
          <w:tcPr>
            <w:tcW w:type="dxa" w:w="3240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Local</w:t>
            </w:r>
          </w:p>
        </w:tc>
        <w:tc>
          <w:tcPr>
            <w:tcW w:type="dxa" w:w="6192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Conteúdo</w:t>
            </w:r>
          </w:p>
        </w:tc>
      </w:tr>
      <w:tr>
        <w:trPr>
          <w:cantSplit/>
        </w:trPr>
        <w:tc>
          <w:tcPr>
            <w:tcW w:type="dxa" w:w="3240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Raiz da pasta</w:t>
            </w:r>
          </w:p>
        </w:tc>
        <w:tc>
          <w:tcPr>
            <w:tcW w:type="dxa" w:w="6192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Este guia e o arquivo “Comece aqui”, com atalhos e ordem de leitura.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01 — Referências visuais</w:t>
            </w:r>
          </w:p>
        </w:tc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Base escolhida e três refinamentos, preservados como PNGs originais.</w:t>
            </w:r>
          </w:p>
        </w:tc>
      </w:tr>
      <w:tr>
        <w:trPr>
          <w:cantSplit/>
        </w:trPr>
        <w:tc>
          <w:tcPr>
            <w:tcW w:type="dxa" w:w="3240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02 — Desenvolvimento e UI</w:t>
            </w:r>
          </w:p>
        </w:tc>
        <w:tc>
          <w:tcPr>
            <w:tcW w:type="dxa" w:w="6192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Paleta de referência em JSON/CSS, checklist e manifesto dos arquivos visuais.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03 — Ativos finais (pendentes)</w:t>
            </w:r>
          </w:p>
        </w:tc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Lista dos arquivos necessários para o fechamento técnico; sem falsos vetores.</w:t>
            </w:r>
          </w:p>
        </w:tc>
      </w:tr>
      <w:tr>
        <w:trPr>
          <w:cantSplit/>
        </w:trPr>
        <w:tc>
          <w:tcPr>
            <w:tcW w:type="dxa" w:w="3240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99 — Histórico de exploração</w:t>
            </w:r>
          </w:p>
        </w:tc>
        <w:tc>
          <w:tcPr>
            <w:tcW w:type="dxa" w:w="6192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Estudos anteriores, reunidos em ZIP e marcados como não normativos.</w:t>
            </w:r>
          </w:p>
        </w:tc>
      </w:tr>
    </w:tbl>
    <w:p>
      <w:pPr>
        <w:spacing w:after="0"/>
      </w:pPr>
    </w:p>
    <w:p>
      <w:pPr>
        <w:pStyle w:val="Heading2"/>
      </w:pPr>
      <w:r>
        <w:t>Referências visuais da conversa</w:t>
      </w:r>
    </w:p>
    <w:p>
      <w:hyperlink r:id="rId13">
        <w:r>
          <w:rPr>
            <w:color w:val="0F766E"/>
            <w:u w:val="single"/>
          </w:rPr>
          <w:t>01_mesiva_base_escolhida.png</w:t>
        </w:r>
      </w:hyperlink>
    </w:p>
    <w:p>
      <w:hyperlink r:id="rId14">
        <w:r>
          <w:rPr>
            <w:color w:val="0F766E"/>
            <w:u w:val="single"/>
          </w:rPr>
          <w:t>02_mesiva_refinamento_premium.png</w:t>
        </w:r>
      </w:hyperlink>
    </w:p>
    <w:p>
      <w:hyperlink r:id="rId15">
        <w:r>
          <w:rPr>
            <w:color w:val="0F766E"/>
            <w:u w:val="single"/>
          </w:rPr>
          <w:t>03_mesiva_refinamento_minimal.png</w:t>
        </w:r>
      </w:hyperlink>
    </w:p>
    <w:p>
      <w:hyperlink r:id="rId16">
        <w:r>
          <w:rPr>
            <w:color w:val="0F766E"/>
            <w:u w:val="single"/>
          </w:rPr>
          <w:t>04_mesiva_refinamento_icone.png</w:t>
        </w:r>
      </w:hyperlink>
    </w:p>
    <w:p>
      <w:r>
        <w:t>As quatro imagens possuem 1448 × 1086 px. Foram preservadas sem redesenho. O arquivo 01 é a variação escolhida antes do refinamento; os arquivos 02 a 04 correspondem à rodada final apresentada. Os hashes SHA-256 estão no manifesto para identificar as mesmas referências em consultas futuras.</w:t>
      </w:r>
    </w:p>
    <w:p>
      <w:pPr>
        <w:pStyle w:val="Heading2"/>
      </w:pPr>
      <w:r>
        <w:t>Fontes técnicas externas</w:t>
      </w:r>
    </w:p>
    <w:p>
      <w:r>
        <w:t>As regras e os cálculos de contraste usam as definições do W3C. Os limites de toque e a separação entre contraste textual e não textual são critérios de avaliação, não uma afirmação de conformidade atual do app.</w:t>
      </w:r>
    </w:p>
    <w:p>
      <w:hyperlink r:id="rId17">
        <w:r>
          <w:rPr>
            <w:color w:val="0F766E"/>
            <w:u w:val="single"/>
          </w:rPr>
          <w:t>W3C — Contraste de texto (1.4.3)</w:t>
        </w:r>
      </w:hyperlink>
    </w:p>
    <w:p>
      <w:hyperlink r:id="rId18">
        <w:r>
          <w:rPr>
            <w:color w:val="0F766E"/>
            <w:u w:val="single"/>
          </w:rPr>
          <w:t>W3C — Contraste não textual (1.4.11)</w:t>
        </w:r>
      </w:hyperlink>
    </w:p>
    <w:p>
      <w:hyperlink r:id="rId19">
        <w:r>
          <w:rPr>
            <w:color w:val="0F766E"/>
            <w:u w:val="single"/>
          </w:rPr>
          <w:t>W3C — Alvos de interação (2.5.8)</w:t>
        </w:r>
      </w:hyperlink>
    </w:p>
    <w:p>
      <w:r>
        <w:t>O restante do guia deriva das escolhas feitas nesta conversa e de convenções de aplicação documentadas nesta edição. Não foi realizada nova investigação de disponibilidade de domínio, INPI ou licenças tipográficas neste trabalho.</w:t>
      </w:r>
    </w:p>
    <w:p>
      <w:pPr>
        <w:pStyle w:val="Heading2"/>
      </w:pPr>
      <w:r>
        <w:t>Uso em futuras sessões de desenvolvimento</w:t>
      </w:r>
    </w:p>
    <w:p>
      <w:r>
        <w:t>Usar o link desta pasta ou do guia como referência explícita no início das tarefas. A consulta precisa ser feita ao documento vigente. Salvar no Drive não anexa automaticamente os arquivos ao contexto de todas as conversas nem configura ferramentas de desenvolvimento.</w:t>
      </w:r>
    </w:p>
    <w:p>
      <w:pPr>
        <w:spacing w:after="160"/>
        <w:pageBreakBefore/>
      </w:pPr>
      <w:r>
        <w:rPr>
          <w:b/>
          <w:color w:val="0F766E"/>
          <w:sz w:val="18"/>
        </w:rPr>
        <w:t>07  /  GUIA DE APLICAÇÃO</w:t>
      </w:r>
    </w:p>
    <w:p>
      <w:pPr>
        <w:pStyle w:val="Heading1"/>
      </w:pPr>
      <w:r>
        <w:t>Referência visual escolhida</w:t>
      </w:r>
    </w:p>
    <w:p>
      <w:r>
        <w:t>Base da identidade, preservada da variação selecionada. Cores escritas neste guia e regras de uso prevalecem sobre detalhes ilustrativos do painel.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989320" cy="4491990"/>
            <wp:docPr id="2" name="Picture 2" descr="Painel completo da primeira variação Mesiva escolhida, com logotipo, paleta e aplicações ilustrativ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esiva_base_escolhid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491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Base escolhida • PNG original • 1448 × 1086 px</w:t>
      </w:r>
    </w:p>
    <w:p>
      <w:hyperlink r:id="rId13">
        <w:r>
          <w:rPr>
            <w:color w:val="0F766E"/>
            <w:u w:val="single"/>
          </w:rPr>
          <w:t>Abrir a imagem original em tamanho completo</w:t>
        </w:r>
      </w:hyperlink>
    </w:p>
    <w:p>
      <w:pPr>
        <w:spacing w:before="100" w:after="200"/>
        <w:shd w:fill="DFF7F1"/>
      </w:pPr>
      <w:r>
        <w:rPr>
          <w:b/>
          <w:color w:val="0F2747"/>
        </w:rPr>
        <w:t xml:space="preserve">Não copiar como especificação: </w:t>
      </w:r>
      <w:r>
        <w:t>telas, métricas, textos em inglês e fotografias desta imagem são ilustrativos. O desenho serve à identidade visual, não à definição de funcionalidades.</w:t>
      </w:r>
    </w:p>
    <w:p>
      <w:pPr>
        <w:pStyle w:val="Heading2"/>
      </w:pPr>
      <w:r>
        <w:t>O que preservar desta referência</w:t>
      </w:r>
    </w:p>
    <w:p>
      <w:r>
        <w:t>O M acolhedor com os talheres; o contraste entre marinho e verde-água; o destaque amarelo; tipografia arredondada; formas suaves; e espaço de respiro. Nas telas operacionais, aplicar esses princípios sem sacrificar informação, foco ou velocidade de leitura.</w:t>
      </w:r>
    </w:p>
    <w:p>
      <w:pPr>
        <w:spacing w:after="160"/>
        <w:pageBreakBefore/>
      </w:pPr>
      <w:r>
        <w:rPr>
          <w:b/>
          <w:color w:val="0F766E"/>
          <w:sz w:val="18"/>
        </w:rPr>
        <w:t>08  /  GUIA DE APLICAÇÃO</w:t>
      </w:r>
    </w:p>
    <w:p>
      <w:pPr>
        <w:pStyle w:val="Heading1"/>
      </w:pPr>
      <w:r>
        <w:t>Refinamentos complementares</w:t>
      </w:r>
    </w:p>
    <w:p>
      <w:r>
        <w:t>Três aproximações da mesma direção. Os recortes abaixo facilitam a consulta; os painéis completos estão na pasta de referências.</w:t>
      </w:r>
    </w:p>
    <w:p>
      <w:pPr>
        <w:pStyle w:val="Heading2"/>
      </w:pPr>
      <w:r>
        <w:t>A — Refinamento premium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394960" cy="1716578"/>
            <wp:docPr id="3" name="Picture 3" descr="Recorte visual do A — Refinamento premium da Mesiva; referência, não ativo fin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1_recor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16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4">
        <w:r>
          <w:rPr>
            <w:color w:val="0F766E"/>
            <w:u w:val="single"/>
          </w:rPr>
          <w:t>Consultar o painel completo</w:t>
        </w:r>
      </w:hyperlink>
    </w:p>
    <w:p>
      <w:pPr>
        <w:pStyle w:val="Heading2"/>
      </w:pPr>
      <w:r>
        <w:t>B — Refinamento minimal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394960" cy="1716578"/>
            <wp:docPr id="4" name="Picture 4" descr="Recorte visual do B — Refinamento minimal da Mesiva; referência, não ativo fin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2_recor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16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5">
        <w:r>
          <w:rPr>
            <w:color w:val="0F766E"/>
            <w:u w:val="single"/>
          </w:rPr>
          <w:t>Consultar o painel completo</w:t>
        </w:r>
      </w:hyperlink>
    </w:p>
    <w:p>
      <w:pPr>
        <w:pStyle w:val="Heading2"/>
      </w:pPr>
      <w:r>
        <w:t>C — Refinamento orientado a ícone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394960" cy="1716578"/>
            <wp:docPr id="5" name="Picture 5" descr="Recorte visual do C — Refinamento orientado a ícone da Mesiva; referência, não ativo fin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3_recor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16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6">
        <w:r>
          <w:rPr>
            <w:color w:val="0F766E"/>
            <w:u w:val="single"/>
          </w:rPr>
          <w:t>Consultar o painel completo</w:t>
        </w:r>
      </w:hyperlink>
    </w:p>
    <w:p>
      <w:pPr>
        <w:pStyle w:val="Caption"/>
      </w:pPr>
      <w:r>
        <w:t>A aprovação da direção não exige copiar diferenças acidentais de uma imagem gerada para outra. A próxima etapa de fechamento deve unificar a geometria, definir a fonte e produzir ativos reproduzíveis.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REFERÊNCIA OFICIAL  •  v1.0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0" w:color="14B8A6" w:space="8"/>
      </w:pBdr>
    </w:pPr>
    <w:r>
      <w:rPr>
        <w:b/>
        <w:color w:val="0F2747"/>
        <w:sz w:val="16"/>
      </w:rPr>
      <w:t>MESIVA  /  IDENTIDADE VISUAL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F2747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F274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F27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F2747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64" w:lineRule="auto"/>
    </w:pPr>
    <w:rPr>
      <w:rFonts w:ascii="Arial" w:hAnsi="Arial"/>
      <w:color w:val="334155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 w:val="0"/>
      <w:color w:val="47556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drive.google.com/drive/folders/1rnbWOVUG9s_fLjwTMBCWUJNIqvm5qPO5" TargetMode="External"/><Relationship Id="rId13" Type="http://schemas.openxmlformats.org/officeDocument/2006/relationships/hyperlink" Target="https://drive.google.com/file/d/1RZxDU_RfT_5NGsQwIOWebdPbNrmIc2Wz/view?usp=drivesdk" TargetMode="External"/><Relationship Id="rId14" Type="http://schemas.openxmlformats.org/officeDocument/2006/relationships/hyperlink" Target="https://drive.google.com/file/d/18LIuBOxdP_JGPw0NBWyjKtOgy4jgKgXh/view?usp=drivesdk" TargetMode="External"/><Relationship Id="rId15" Type="http://schemas.openxmlformats.org/officeDocument/2006/relationships/hyperlink" Target="https://drive.google.com/file/d/1NOcW0iJILchcUgwGOvy7MJX1BJiwdcE_/view?usp=drivesdk" TargetMode="External"/><Relationship Id="rId16" Type="http://schemas.openxmlformats.org/officeDocument/2006/relationships/hyperlink" Target="https://drive.google.com/file/d/1Vk16WjTYSMmzdZ1FruxJNtsEQp5kQnLR/view?usp=drivesdk" TargetMode="External"/><Relationship Id="rId17" Type="http://schemas.openxmlformats.org/officeDocument/2006/relationships/hyperlink" Target="https://www.w3.org/WAI/WCAG22/Understanding/contrast-minimum.html" TargetMode="External"/><Relationship Id="rId18" Type="http://schemas.openxmlformats.org/officeDocument/2006/relationships/hyperlink" Target="https://www.w3.org/WAI/WCAG22/Understanding/non-text-contrast.html" TargetMode="External"/><Relationship Id="rId19" Type="http://schemas.openxmlformats.org/officeDocument/2006/relationships/hyperlink" Target="https://www.w3.org/WAI/WCAG22/Understanding/target-size-minimum" TargetMode="External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Mesiva — Guia oficial de identidade visual e aplicação no produto</dc:title>
  <dc:subject>Direção visual, regras de aplicação e governança da marca Mesiva</dc:subject>
  <dc:creator>Projeto Gestão Delivery</dc:creator>
  <cp:keywords>Mesiva, identidade visual, guia oficial, UI, Gestão Delivery,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