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F766E"/>
          <w:sz w:val="18"/>
        </w:rPr>
        <w:t>PROJETO GESTÃO DELIVERY  /  MARCA MESIVA</w:t>
      </w:r>
    </w:p>
    <w:p>
      <w:pPr>
        <w:spacing w:after="280"/>
      </w:pP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989320" cy="1847088"/>
            <wp:docPr id="1" name="Picture 1" descr="Recorte de referência do logotipo Mesiva escolhido: M arredondado verde-água com garfo e colher e detalhe amarel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referencia_recor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847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>Símbolo vetorial aprovado em 02/10/2026 (repositório). Composição editorial; a assinatura horizontal oficial permanece nos SVGs do produto.</w:t>
      </w:r>
    </w:p>
    <w:p>
      <w:pPr>
        <w:pStyle w:val="Title"/>
      </w:pPr>
      <w:r>
        <w:t>Guia oficial de</w:t>
        <w:br/>
        <w:t>identidade visual</w:t>
      </w:r>
    </w:p>
    <w:p>
      <w:pPr>
        <w:pStyle w:val="Subtitle"/>
      </w:pPr>
      <w:r>
        <w:t>Referência de marca e aplicação no produto</w:t>
      </w:r>
    </w:p>
    <w:p>
      <w:r>
        <w:rPr/>
        <w:t>Versão 1.1  •  EDIÇÃO OFICIAL APROVADA  •  Word editável e PDF oficiais</w:t>
      </w:r>
    </w:p>
    <w:p>
      <w:r>
        <w:rPr/>
        <w:t>Emissão original: 23/09/2026  •  Revisão proposta: 17/10/2026</w:t>
      </w:r>
    </w:p>
    <w:p>
      <w:pPr>
        <w:spacing w:before="100" w:after="200"/>
        <w:shd w:fill="DFF7F1"/>
      </w:pPr>
      <w:r>
        <w:rPr/>
        <w:t>Status: direção visual aprovada; ativos SVG e slogan de 02/10 já incorporados ao produto. Esta edição documental v1.1 foi aprovada em 17/10/2026. A publicação no Drive deve preservar a v1.0 como histórico.</w:t>
      </w:r>
    </w:p>
    <w:p>
      <w:r>
        <w:t>Este guia consolida a linha escolhida para a Mesiva e orienta o desenvolvimento e as melhorias visuais do aplicativo. Seu uso não autoriza mudanças de comportamento, arquitetura, dados ou publicação em produção.</w:t>
      </w:r>
    </w:p>
    <w:p>
      <w:pPr>
        <w:pStyle w:val="Heading2"/>
      </w:pPr>
      <w:r>
        <w:t>Como consultar</w:t>
      </w:r>
    </w:p>
    <w:p>
      <w:r>
        <w:rPr>
          <w:sz w:val="18"/>
        </w:rPr>
        <w:t>A direção da v1.0 permanece como referência. As decisões posteriores de 02/10/2026 sobre logo, slogan, ícones e variantes prevalecem nos ativos já aprovados e versionados. As imagens dos estudos nas páginas finais são históricas; consulte os SVGs atuais antes de criar peças ou modificar o produto.</w:t>
      </w:r>
    </w:p>
    <w:p>
      <w:hyperlink r:id="rId12">
        <w:r>
          <w:rPr>
            <w:color w:val="0F766E"/>
            <w:u w:val="single"/>
          </w:rPr>
          <w:t>Abrir a pasta oficial no Google Drive</w:t>
        </w:r>
      </w:hyperlink>
    </w:p>
    <w:p>
      <w:r>
        <w:t>Responsável pela aprovação: proprietário do projeto. Público: produto, design, desenvolvimento e colaboradores autorizados.</w:t>
      </w:r>
    </w:p>
    <w:p>
      <w:pPr>
        <w:spacing w:after="160"/>
        <w:pageBreakBefore/>
      </w:pPr>
      <w:r>
        <w:rPr>
          <w:b/>
          <w:color w:val="0F766E"/>
          <w:sz w:val="18"/>
        </w:rPr>
        <w:t>01  /  GUIA DE APLICAÇÃO</w:t>
      </w:r>
    </w:p>
    <w:p>
      <w:pPr>
        <w:pStyle w:val="Heading1"/>
      </w:pPr>
      <w:r>
        <w:t>Essência e assinatura da marca</w:t>
      </w:r>
    </w:p>
    <w:p>
      <w:pPr>
        <w:pStyle w:val="Heading2"/>
      </w:pPr>
      <w:r>
        <w:t>O que deve permanecer reconhecível</w:t>
      </w:r>
    </w:p>
    <w:p>
      <w:r>
        <w:t>Mesiva é a marca de referência para o produto de gestão de restaurantes. A identidade combina proximidade com quem opera o negócio, organização e tecnologia sem aparência fria ou excessivamente corporativa.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/>
          <w:cantSplit/>
        </w:trPr>
        <w:tc>
          <w:tcPr>
            <w:tcW w:type="dxa" w:w="1728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704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Direção vigente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Nome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Mesiva, com M maiúsculo e demais letras minúsculas no uso textual padrão.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Símbolo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 arredondado, com garfo e colher em espaço negativo e detalhe amarelo acima.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Personalidade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Acolhedora, clara, moderna e profissional; não infantil e não excessivamente decorativa.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Paleta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Verde-água e azul-marinho como base; menta e fundos claros como apoio; amarelo como destaque.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Linguagem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Português do Brasil no produto e no guia. Os textos em inglês dos estudos são ilustrativos.</w:t>
            </w:r>
          </w:p>
        </w:tc>
      </w:tr>
    </w:tbl>
    <w:p>
      <w:pPr>
        <w:spacing w:after="0"/>
      </w:pPr>
    </w:p>
    <w:p>
      <w:pPr>
        <w:pStyle w:val="Heading2"/>
      </w:pPr>
      <w:r>
        <w:t>Uso do logotipo</w:t>
      </w:r>
    </w:p>
    <w:p>
      <w:r>
        <w:rPr>
          <w:sz w:val="18"/>
        </w:rPr>
        <w:t>Priorizar a assinatura horizontal oficial (public/brand/mesiva-logo.svg em superfícies claras e mesiva-logo-dark.svg nas escuras). Em espaços compactos, usar o símbolo ou ícone aprovado para esse contexto. Não esticar, rotacionar, redesenhar por aproximação, aplicar filtros para inverter o logo nem combinar partes de estudos diferentes.</w:t>
      </w:r>
    </w:p>
    <w:p>
      <w:r>
        <w:t>Como regra provisória de composição, reservar área livre de pelo menos 25% da altura do símbolo em todos os lados. A área de proteção definitiva e os limites mínimos devem ser validados no arquivo vetorial final.</w:t>
      </w:r>
    </w:p>
    <w:p>
      <w:r>
        <w:t>A assinatura com slogan não deve aparecer quando o texto ficar ilegível. Testar o símbolo em 16, 24, 32 e 48 px; os detalhes dos talheres podem exigir uma versão reduzida específica, que ainda não foi aprovada.</w:t>
      </w:r>
    </w:p>
    <w:p>
      <w:pPr>
        <w:pStyle w:val="Heading2"/>
      </w:pPr>
      <w:r>
        <w:t>Tipografia e linguagem</w:t>
      </w:r>
    </w:p>
    <w:p>
      <w:r>
        <w:rPr>
          <w:sz w:val="18"/>
        </w:rPr>
        <w:t>A direção visual favorece letras sem serifa, arredondadas e expressivas. O lettering da assinatura aprovada em outubro está desenhado em contornos vetoriais: não depende de uma família de fonte instalada e não deve ser recriado digitando “Mesiva” com uma fonte parecida. A tipografia da interface é independente do desenho do logotipo.</w:t>
      </w:r>
    </w:p>
    <w:p>
      <w:r>
        <w:rPr>
          <w:sz w:val="18"/>
        </w:rPr>
        <w:t>Para a interface, manter as fontes funcionais do produto até uma mudança explícita e homologada. Priorizar leitura de valores, nomes e estados. “Gestão para restaurantes” pode ser usado como descritor. O slogan da marca aprovado em 02/10/2026 é “Pessoas. Sabor. Evolução.”, respeitando a legibilidade da assinatura nos formatos compactos.</w:t>
      </w:r>
    </w:p>
    <w:p>
      <w:pPr>
        <w:spacing w:after="160"/>
        <w:pageBreakBefore/>
      </w:pPr>
      <w:r>
        <w:rPr>
          <w:b/>
          <w:color w:val="0F766E"/>
          <w:sz w:val="18"/>
        </w:rPr>
        <w:t>02  /  GUIA DE APLICAÇÃO</w:t>
      </w:r>
    </w:p>
    <w:p>
      <w:pPr>
        <w:pStyle w:val="Heading1"/>
      </w:pPr>
      <w:r>
        <w:t>Paleta e contraste</w:t>
      </w:r>
    </w:p>
    <w:p>
      <w:r>
        <w:rPr>
          <w:sz w:val="18"/>
        </w:rPr>
        <w:t>Os valores abaixo são a paleta de referência da edição v1.0. Nos SVGs aprovados em outubro, o verde do símbolo é #0F9F91; o token de identidade da interface permanece #14B8A6 em seus contextos previstos. Esta edição registra a diferença, mas não autoriza recolorir SVGs nem unificar cores sem decisão específica.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  <w:cantSplit/>
        </w:trPr>
        <w:tc>
          <w:tcPr>
            <w:tcW w:type="dxa" w:w="2376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Cor</w:t>
            </w:r>
          </w:p>
        </w:tc>
        <w:tc>
          <w:tcPr>
            <w:tcW w:type="dxa" w:w="1656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Hexadecimal</w:t>
            </w:r>
          </w:p>
        </w:tc>
        <w:tc>
          <w:tcPr>
            <w:tcW w:type="dxa" w:w="5400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Uso de referência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Verde-água Mesiva</w:t>
            </w:r>
          </w:p>
        </w:tc>
        <w:tc>
          <w:tcPr>
            <w:tcW w:type="dxa" w:w="16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14B8A6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#14B8A6</w:t>
            </w:r>
          </w:p>
        </w:tc>
        <w:tc>
          <w:tcPr>
            <w:tcW w:type="dxa" w:w="540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Marca, detalhes e áreas de destaque.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Azul-marinho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0F2747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#0F2747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Texto forte, assinatura e contraste.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Menta</w:t>
            </w:r>
          </w:p>
        </w:tc>
        <w:tc>
          <w:tcPr>
            <w:tcW w:type="dxa" w:w="16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DFF7F1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#DFF7F1</w:t>
            </w:r>
          </w:p>
        </w:tc>
        <w:tc>
          <w:tcPr>
            <w:tcW w:type="dxa" w:w="540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Fundos de apoio e destaques suaves.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Amarelo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BBF24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#FBBF24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Acento pontual; não assumir significado de alerta.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Nuvem</w:t>
            </w:r>
          </w:p>
        </w:tc>
        <w:tc>
          <w:tcPr>
            <w:tcW w:type="dxa" w:w="16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8FAFC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#F8FAFC</w:t>
            </w:r>
          </w:p>
        </w:tc>
        <w:tc>
          <w:tcPr>
            <w:tcW w:type="dxa" w:w="540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Fundo neutro complementar.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Branco</w:t>
            </w:r>
          </w:p>
        </w:tc>
        <w:tc>
          <w:tcPr>
            <w:tcW w:type="dxa" w:w="16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0F2747"/>
                <w:sz w:val="19"/>
              </w:rPr>
              <w:t>#FFFFFF</w:t>
            </w:r>
          </w:p>
        </w:tc>
        <w:tc>
          <w:tcPr>
            <w:tcW w:type="dxa" w:w="540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Superfícies e contraste de apoio.</w:t>
            </w:r>
          </w:p>
        </w:tc>
      </w:tr>
    </w:tbl>
    <w:p>
      <w:pPr>
        <w:spacing w:after="0"/>
      </w:pPr>
    </w:p>
    <w:p>
      <w:pPr>
        <w:pStyle w:val="Heading2"/>
      </w:pPr>
      <w:r>
        <w:t>Combinações calculadas para a UI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tblHeader/>
          <w:cantSplit/>
        </w:trPr>
        <w:tc>
          <w:tcPr>
            <w:tcW w:type="dxa" w:w="4680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Texto / fundo</w:t>
            </w:r>
          </w:p>
        </w:tc>
        <w:tc>
          <w:tcPr>
            <w:tcW w:type="dxa" w:w="1944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Contraste</w:t>
            </w:r>
          </w:p>
        </w:tc>
        <w:tc>
          <w:tcPr>
            <w:tcW w:type="dxa" w:w="2808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Texto normal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Marinho / branco</w:t>
            </w:r>
          </w:p>
        </w:tc>
        <w:tc>
          <w:tcPr>
            <w:tcW w:type="dxa" w:w="194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14,98:1</w:t>
            </w:r>
          </w:p>
        </w:tc>
        <w:tc>
          <w:tcPr>
            <w:tcW w:type="dxa" w:w="280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Adequado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Marinho / verde-água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6,02:1</w:t>
            </w:r>
          </w:p>
        </w:tc>
        <w:tc>
          <w:tcPr>
            <w:tcW w:type="dxa" w:w="28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Adequado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Marinho / menta</w:t>
            </w:r>
          </w:p>
        </w:tc>
        <w:tc>
          <w:tcPr>
            <w:tcW w:type="dxa" w:w="194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13,35:1</w:t>
            </w:r>
          </w:p>
        </w:tc>
        <w:tc>
          <w:tcPr>
            <w:tcW w:type="dxa" w:w="280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Adequado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Marinho / amarelo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8,98:1</w:t>
            </w:r>
          </w:p>
        </w:tc>
        <w:tc>
          <w:tcPr>
            <w:tcW w:type="dxa" w:w="28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Adequado</w:t>
            </w:r>
          </w:p>
        </w:tc>
      </w:tr>
      <w:tr>
        <w:trPr>
          <w:cantSplit/>
        </w:trPr>
        <w:tc>
          <w:tcPr>
            <w:tcW w:type="dxa" w:w="468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Branco / verde-água</w:t>
            </w:r>
          </w:p>
        </w:tc>
        <w:tc>
          <w:tcPr>
            <w:tcW w:type="dxa" w:w="194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2,49:1</w:t>
            </w:r>
          </w:p>
        </w:tc>
        <w:tc>
          <w:tcPr>
            <w:tcW w:type="dxa" w:w="280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Não usar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Branco / amarelo</w:t>
            </w:r>
          </w:p>
        </w:tc>
        <w:tc>
          <w:tcPr>
            <w:tcW w:type="dxa" w:w="194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1,67:1</w:t>
            </w:r>
          </w:p>
        </w:tc>
        <w:tc>
          <w:tcPr>
            <w:tcW w:type="dxa" w:w="280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Não usar</w:t>
            </w:r>
          </w:p>
        </w:tc>
      </w:tr>
    </w:tbl>
    <w:p>
      <w:pPr>
        <w:spacing w:after="0"/>
      </w:pPr>
    </w:p>
    <w:p>
      <w:pPr>
        <w:pStyle w:val="Caption"/>
      </w:pPr>
      <w:r>
        <w:t>Cálculo em sRGB, cores opacas e sólidas. Valores exibidos arredondados; a decisão foi feita com precisão integral. Não representa certificação de acessibilidade do aplicativo.</w:t>
      </w:r>
    </w:p>
    <w:p>
      <w:pPr>
        <w:spacing w:before="100" w:after="200"/>
        <w:shd w:fill="DFF7F1"/>
      </w:pPr>
      <w:r>
        <w:rPr>
          <w:b/>
          <w:color w:val="0F2747"/>
        </w:rPr>
        <w:t xml:space="preserve">Atenção: </w:t>
      </w:r>
      <w:r>
        <w:t>branco sobre o verde-água principal ou sobre o amarelo não atende ao contraste mínimo de texto normal. Preferir marinho; qualquer tom funcional derivado exige validação.</w:t>
      </w:r>
    </w:p>
    <w:p>
      <w:r>
        <w:t>Meta de UI: pelo menos 4,5:1 para texto normal; 3:1 para texto grande nas condições do critério WCAG; 3:1 para elementos não textuais necessários à identificação de controles e estados. Ver fontes W3C na seção 6.</w:t>
      </w:r>
    </w:p>
    <w:p>
      <w:pPr>
        <w:spacing w:after="160"/>
        <w:pageBreakBefore/>
      </w:pPr>
      <w:r>
        <w:rPr>
          <w:b/>
          <w:color w:val="0F766E"/>
          <w:sz w:val="18"/>
        </w:rPr>
        <w:t>03  /  GUIA DE APLICAÇÃO</w:t>
      </w:r>
    </w:p>
    <w:p>
      <w:pPr>
        <w:pStyle w:val="Heading1"/>
      </w:pPr>
      <w:r>
        <w:t>Aplicação no aplicativo</w:t>
      </w:r>
    </w:p>
    <w:p>
      <w:pPr>
        <w:pStyle w:val="Heading2"/>
      </w:pPr>
      <w:r>
        <w:t>Temas claro e escuro</w:t>
      </w:r>
    </w:p>
    <w:p>
      <w:r>
        <w:t>No tema claro, priorizar superfícies claras e texto marinho. No tema escuro, usar superfícies escuras e texto claro com contraste validado. Navegação lateral, modais, menus, tooltips e notificações devem acompanhar o tema selecionado, não apenas o conteúdo central.</w:t>
      </w:r>
    </w:p>
    <w:p>
      <w:r>
        <w:rPr>
          <w:sz w:val="18"/>
        </w:rPr>
        <w:t>Não inverter o logo por filtro CSS nem recolori-lo livremente. Há variantes vetoriais dedicadas para superfícies claras e escuras, public/brand/mesiva-logo.svg e public/brand/mesiva-logo-dark.svg. O ícone de aplicativo também tem arquivo próprio. Para fundos/formatos especiais, conferir contraste e arquivo aprovado antes de aplicar.</w:t>
      </w:r>
    </w:p>
    <w:p>
      <w:pPr>
        <w:pStyle w:val="Heading2"/>
      </w:pPr>
      <w:r>
        <w:t>Marca não é estado operacional</w:t>
      </w:r>
    </w:p>
    <w:p>
      <w:r>
        <w:t>Verde-água comunica identidade; não deve significar automaticamente “sucesso”. Amarelo é acento; não deve se confundir com “atenção”. Manter tokens semânticos separados para sucesso, erro, alerta, informação, foco e seleção.</w:t>
      </w:r>
    </w:p>
    <w:p>
      <w:r>
        <w:t>Na cozinha e na fila de impressão, diferenciar estados com texto e ícone, além de cor. Preservar destaque e confirmação de ações destrutivas, como descartar jobs. A identidade não deve mascarar falhas, pendências ou condições offline.</w:t>
      </w:r>
    </w:p>
    <w:p>
      <w:pPr>
        <w:pStyle w:val="Heading2"/>
      </w:pPr>
      <w:r>
        <w:t>Composição e componentes</w:t>
      </w:r>
    </w:p>
    <w:p>
      <w:r>
        <w:t>Usar formas arredondadas, espaçamento consistente e hierarquia clara, sem aplicar o aspecto de campanha publicitária a todas as telas. Nas áreas operacionais, priorizar densidade útil, leitura rápida e ações fáceis de localizar.</w:t>
      </w:r>
    </w:p>
    <w:p>
      <w:r>
        <w:t>Orientação inicial: compor espaçamentos em múltiplos de 4 px, respeitando os tokens existentes. Não introduzir novos valores por componente sem necessidade. Usar bordas e sombras discretas; evitar degradês decorativos atrás de dados e tabelas.</w:t>
      </w:r>
    </w:p>
    <w:p>
      <w:r>
        <w:t>Em desktop, proteger a largura de nomes de formas de pagamento, valores e menus. Em mobile, permitir quebra ou reorganização sem esconder informação. Para botões principais de toque, adotar 44 × 44 CSS px como meta interna de conforto; isso não substitui a avaliação do critério WCAG 2.5.8, que tem mínimo de 24 × 24 e exceções específicas.</w:t>
      </w:r>
    </w:p>
    <w:p>
      <w:pPr>
        <w:pStyle w:val="Heading2"/>
      </w:pPr>
      <w:r>
        <w:t>Texto e imagens</w:t>
      </w:r>
    </w:p>
    <w:p>
      <w:r>
        <w:t>Mensagens curtas, diretas e em português. Usar os termos já conhecidos pelo operador. Evitar palavras em inglês de mockup, slogans em ações operacionais e números demonstrativos copiados dos painéis. Fotografias dos estudos são ilustrações geradas, não retratos da equipe nem depoimentos reais.</w:t>
      </w:r>
    </w:p>
    <w:p>
      <w:pPr>
        <w:spacing w:after="160"/>
        <w:pageBreakBefore/>
      </w:pPr>
      <w:r>
        <w:rPr>
          <w:b/>
          <w:color w:val="0F766E"/>
          <w:sz w:val="18"/>
        </w:rPr>
        <w:t>04  /  GUIA DE APLICAÇÃO</w:t>
      </w:r>
    </w:p>
    <w:p>
      <w:pPr>
        <w:pStyle w:val="Heading1"/>
      </w:pPr>
      <w:r>
        <w:t>Referência para desenvolvimento</w:t>
      </w:r>
    </w:p>
    <w:p>
      <w:pPr>
        <w:spacing w:before="100" w:after="200"/>
        <w:shd w:fill="DFF7F1"/>
      </w:pPr>
      <w:r>
        <w:rPr>
          <w:b/>
          <w:color w:val="0F2747"/>
        </w:rPr>
        <w:t xml:space="preserve">Regra de trabalho: </w:t>
      </w:r>
      <w:r>
        <w:t>antes de desenhar ou alterar uma interface, consultar o guia vigente, indicar a versão utilizada e verificar a referência visual escolhida. O guia define apresentação; as especificações funcionais e a arquitetura continuam determinando comportamento.</w:t>
      </w:r>
    </w:p>
    <w:p>
      <w:pPr>
        <w:pStyle w:val="Heading2"/>
      </w:pPr>
      <w:r>
        <w:t>Implementar por mudanças pequenas</w:t>
      </w:r>
    </w:p>
    <w:p>
      <w:r>
        <w:t>Mapear a identidade para os tokens e componentes existentes. Não colar valores de cor repetidos por tela, introduzir uma biblioteca de UI paralela nem substituir a navegação por causa dos mockups. Os arquivos em “Desenvolvimento e UI” são referências de marca, não um tema completo pronto para importar.</w:t>
      </w:r>
    </w:p>
    <w:p>
      <w:r>
        <w:t>Manter o fluxo do projeto: branch de trabalho, validações automatizadas, staging, homologação, merge autorizado e publicação em produção separada. Adotar este documento não altera o sistema automaticamente.</w:t>
      </w:r>
    </w:p>
    <w:p>
      <w:pPr>
        <w:pStyle w:val="Heading2"/>
      </w:pPr>
      <w:r>
        <w:t>Checklist visual de homologação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/>
          <w:cantSplit/>
        </w:trPr>
        <w:tc>
          <w:tcPr>
            <w:tcW w:type="dxa" w:w="1728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Verificação</w:t>
            </w:r>
          </w:p>
        </w:tc>
        <w:tc>
          <w:tcPr>
            <w:tcW w:type="dxa" w:w="7704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Critério de aceite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Marca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Nome correto, proporção preservada e ativo adequado ao contexto.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Claro / escuro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Todos os elementos da tela acompanham o tema; não há bordas ou ícones “sobrando”.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Leitura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Contraste medido; texto e valores não são cortados em larguras representativas.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Interação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Foco visível, teclado utilizável e alvos de toque confortáveis.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Estados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Loading, vazio, erro, offline e desabilitado distinguíveis e compreensíveis.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Navegação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Sem regressão no topo da página, links diretos, F5 e abertura de menus.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Operação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Cozinha, comandas, financeiro e impressão preservam significado e prioridades.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Responsividade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Desktop e mobile verificados; TV validada quando a mudança atingir essa superfície.</w:t>
            </w:r>
          </w:p>
        </w:tc>
      </w:tr>
      <w:tr>
        <w:trPr>
          <w:cantSplit/>
        </w:trPr>
        <w:tc>
          <w:tcPr>
            <w:tcW w:type="dxa" w:w="1728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Evidência</w:t>
            </w:r>
          </w:p>
        </w:tc>
        <w:tc>
          <w:tcPr>
            <w:tcW w:type="dxa" w:w="7704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Capturas e resultados vinculados à mudança e ao SHA homologado.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Liberação</w:t>
            </w:r>
          </w:p>
        </w:tc>
        <w:tc>
          <w:tcPr>
            <w:tcW w:type="dxa" w:w="770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40" w:line="252" w:lineRule="auto"/>
            </w:pPr>
            <w:r>
              <w:rPr>
                <w:rFonts w:ascii="Arial" w:hAnsi="Arial"/>
                <w:sz w:val="19"/>
              </w:rPr>
              <w:t>Nenhuma mudança visual publica em produção por consequência deste guia.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 a registrar na especificação ou PR</w:t>
      </w:r>
    </w:p>
    <w:p>
      <w:r>
        <w:rPr/>
        <w:t>“Referência visual: Mesiva — Guia de identidade visual e aplicação no produto, v1.1 (edição oficial v1.1). Ativos aprovados: refinamento de 02/10/2026. Superfícies afetadas: [...]. Estados e temas verificados: [...]. Exceções aprovadas: [...].”</w:t>
      </w:r>
    </w:p>
    <w:p>
      <w:pPr>
        <w:spacing w:after="160"/>
        <w:pageBreakBefore/>
      </w:pPr>
      <w:r>
        <w:rPr>
          <w:b/>
          <w:color w:val="0F766E"/>
          <w:sz w:val="18"/>
        </w:rPr>
        <w:t>05  /  GUIA DE APLICAÇÃO</w:t>
      </w:r>
    </w:p>
    <w:p>
      <w:pPr>
        <w:pStyle w:val="Heading1"/>
      </w:pPr>
      <w:r>
        <w:t>Governança e arquivos finais</w:t>
      </w:r>
    </w:p>
    <w:p>
      <w:pPr>
        <w:spacing w:after="60"/>
      </w:pPr>
      <w:r>
        <w:rPr>
          <w:sz w:val="17"/>
        </w:rPr>
        <w:t>O guia formaliza a direção de marca aprovada em setembro e registra os ativos vetoriais e o slogan aprovados em outubro. Esta edição v1.1 documenta a reconciliação aprovada em 17/10/2026; sua aprovação não comprova publicação no Drive, disponibilidade de domínio ou registro de marca.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/>
          <w:cantSplit/>
        </w:trPr>
        <w:tc>
          <w:tcPr>
            <w:tcW w:type="dxa" w:w="2376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056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Situação atual verificada / pendência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6"/>
              </w:rPr>
              <w:t>Direção visual</w:t>
            </w:r>
          </w:p>
        </w:tc>
        <w:tc>
          <w:tcPr>
            <w:tcW w:type="dxa" w:w="70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Aprovada em setembro. Em outubro, o vetor de uso no produto foi refinado e aprovado sem abandonar a direção escolhida.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6"/>
              </w:rPr>
              <w:t>Três refinamentos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Estudos da fase inicial, preservados historicamente. Não usar suas variantes ou slogan em inglês como arquivo final.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6"/>
              </w:rPr>
              <w:t>Paleta / aplicação</w:t>
            </w:r>
          </w:p>
        </w:tc>
        <w:tc>
          <w:tcPr>
            <w:tcW w:type="dxa" w:w="70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Paleta do guia preservada. SVGs aprovados usam verde #0F9F91; tokens Mesiva da UI incluem #14B8A6. Não unificar sem aprovação.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6"/>
              </w:rPr>
              <w:t>Vetor mestre / fonte do logo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SVG horizontal aprovado, variantes claro/escuro e lettering em contornos disponíveis no repositório. Não há fonte externa do logo a distribuir.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6"/>
              </w:rPr>
              <w:t>Claro / escuro / monocromático</w:t>
            </w:r>
          </w:p>
        </w:tc>
        <w:tc>
          <w:tcPr>
            <w:tcW w:type="dxa" w:w="70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Variantes claro/escuro e ícones aprovados disponíveis. Arquivo monocromático de uso geral não confirmado nesta revisão; exigir aprovação específica.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6"/>
              </w:rPr>
              <w:t>Favicon / app icon</w:t>
            </w:r>
          </w:p>
        </w:tc>
        <w:tc>
          <w:tcPr>
            <w:tcW w:type="dxa" w:w="70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Ícones/favicons SVG e PNGs de aplicativo gerados e versionados; verificar o consumidor, tamanho e fundo adequado.</w:t>
            </w:r>
          </w:p>
        </w:tc>
      </w:tr>
      <w:tr>
        <w:trPr>
          <w:cantSplit/>
        </w:trPr>
        <w:tc>
          <w:tcPr>
            <w:tcW w:type="dxa" w:w="237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6"/>
              </w:rPr>
              <w:t>Slogan / domínio / marca</w:t>
            </w:r>
          </w:p>
        </w:tc>
        <w:tc>
          <w:tcPr>
            <w:tcW w:type="dxa" w:w="7056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Slogan “Pessoas. Sabor. Evolução.” aprovado em 02/10. Domínio, INPI e marca registrada não foram certificados nesta revisão.</w:t>
            </w:r>
          </w:p>
        </w:tc>
      </w:tr>
    </w:tbl>
    <w:p>
      <w:pPr>
        <w:spacing w:after="0"/>
      </w:pPr>
    </w:p>
    <w:p>
      <w:pPr>
        <w:pStyle w:val="Heading2"/>
      </w:pPr>
      <w:r>
        <w:t>Pacote técnico necessário para produção</w:t>
      </w:r>
    </w:p>
    <w:p>
      <w:pPr>
        <w:spacing w:after="60"/>
      </w:pPr>
      <w:r>
        <w:rPr>
          <w:sz w:val="17"/>
        </w:rPr>
        <w:t>Ativos existentes e versionados: SVG horizontal claro e escuro, símbolo/ícone, favicon e ícones de aplicativo em public/brand/ e arquivos de distribuição correspondentes. O texto do logo e do slogan nos SVGs é contorno vetorial. Para novas variações (incluindo monocromática quando requerida), preparar e aprovar um ativo específico; não improvisar exportação sem validação.</w:t>
      </w:r>
    </w:p>
    <w:p>
      <w:pPr>
        <w:spacing w:after="60"/>
      </w:pPr>
      <w:r>
        <w:rPr>
          <w:sz w:val="17"/>
        </w:rPr>
        <w:t>Não renomear PNG para SVG nem recortar um painel histórico para uso como logo. Validar transparência, contraste sobre o fundo real, redução e impressão no caso de uso. O desenho vetorial existente não exige distribuir arquivos de fontes. Não há evidência nesta revisão de que uma versão monocromática universal tenha sido formalmente aprovada.</w:t>
      </w:r>
    </w:p>
    <w:p>
      <w:pPr>
        <w:pStyle w:val="Heading2"/>
      </w:pPr>
      <w:r>
        <w:t>Atualização e precedência</w:t>
      </w:r>
    </w:p>
    <w:p>
      <w:pPr>
        <w:spacing w:after="60"/>
      </w:pPr>
      <w:r>
        <w:rPr>
          <w:sz w:val="17"/>
        </w:rPr>
        <w:t>Ordem de consulta da edição oficial aprovada: guia vigente → ativos finais aprovados e versionados → refinamento de 02/10 → base escolhida e refinamentos históricos. Se cor, geometria ou aplicação divergirem, registrar e pedir decisão antes de alterar ativos. A referência #14B8A6 da UI não deve sobrescrever o #0F9F91 presente no vetor.</w:t>
      </w:r>
    </w:p>
    <w:p>
      <w:pPr>
        <w:spacing w:after="60"/>
      </w:pPr>
      <w:r>
        <w:rPr>
          <w:sz w:val="17"/>
        </w:rPr>
        <w:t>As versões Word e PDF precisam permanecer sincronizadas. Ao publicar a v1.1 aprovada no Drive, preservar a v1.0 como histórico, conservar seus links e atualizar o “Comece aqui” e a documentação viva. A publicação dos arquivos é uma etapa operacional separada desta aprovação.</w:t>
      </w:r>
    </w:p>
    <w:p>
      <w:pPr>
        <w:spacing w:after="60"/>
      </w:pPr>
      <w:r>
        <w:rPr>
          <w:sz w:val="17"/>
        </w:rPr>
        <w:t>Histórico: v1.0 (23/09/2026) consolidou direção, referências, paleta e pendências originais. Revisão aprovada v1.1 (17/10/2026) reconhece os SVGs e ícones aprovados em 02/10, o slogan em português, o contraste entre cores do guia e do vetor e a situação de variantes ainda não documentadas. Sem modificações de código, logo ou infraestrutura.</w:t>
      </w:r>
    </w:p>
    <w:p>
      <w:pPr>
        <w:spacing w:after="160"/>
        <w:pageBreakBefore/>
      </w:pPr>
      <w:r>
        <w:rPr>
          <w:b/>
          <w:color w:val="0F766E"/>
          <w:sz w:val="18"/>
        </w:rPr>
        <w:t>06  /  GUIA DE APLICAÇÃO</w:t>
      </w:r>
    </w:p>
    <w:p>
      <w:pPr>
        <w:pStyle w:val="Heading1"/>
      </w:pPr>
      <w:r>
        <w:t>Acervo e fontes de consulta</w:t>
      </w:r>
    </w:p>
    <w:p>
      <w:pPr>
        <w:pStyle w:val="Heading2"/>
      </w:pPr>
      <w:r>
        <w:t>Estrutura oficial no Drive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rPr>
          <w:tblHeader/>
          <w:cantSplit/>
        </w:trPr>
        <w:tc>
          <w:tcPr>
            <w:tcW w:type="dxa" w:w="3240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Local</w:t>
            </w:r>
          </w:p>
        </w:tc>
        <w:tc>
          <w:tcPr>
            <w:tcW w:type="dxa" w:w="6192"/>
            <w:shd w:fill="0F274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b/>
                <w:color w:val="FFFFFF"/>
                <w:sz w:val="17"/>
              </w:rPr>
              <w:t>Conteúdo</w:t>
            </w:r>
          </w:p>
        </w:tc>
      </w:tr>
      <w:tr>
        <w:trPr>
          <w:cantSplit/>
        </w:trPr>
        <w:tc>
          <w:tcPr>
            <w:tcW w:type="dxa" w:w="324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Raiz da pasta</w:t>
            </w:r>
          </w:p>
        </w:tc>
        <w:tc>
          <w:tcPr>
            <w:tcW w:type="dxa" w:w="6192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Este guia e o arquivo “Comece aqui”, com atalhos e ordem de leitura.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01 — Referências visuais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Base escolhida e três refinamentos, preservados como PNGs originais.</w:t>
            </w:r>
          </w:p>
        </w:tc>
      </w:tr>
      <w:tr>
        <w:trPr>
          <w:cantSplit/>
        </w:trPr>
        <w:tc>
          <w:tcPr>
            <w:tcW w:type="dxa" w:w="324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02 — Desenvolvimento e UI</w:t>
            </w:r>
          </w:p>
        </w:tc>
        <w:tc>
          <w:tcPr>
            <w:tcW w:type="dxa" w:w="6192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Paleta de referência em JSON/CSS, checklist e manifesto dos arquivos visuais.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03 — Ativos finais (pendentes)</w:t>
            </w:r>
          </w:p>
        </w:tc>
        <w:tc>
          <w:tcPr>
            <w:tcW w:type="dxa" w:w="6192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Pasta histórica de pendências em setembro. Ativos hoje aprovados estão no repositório public/brand/; a pasta do Drive deve manter a v1.0 histórica e receber a v1.1 aprovada.</w:t>
            </w:r>
          </w:p>
        </w:tc>
      </w:tr>
      <w:tr>
        <w:trPr>
          <w:cantSplit/>
        </w:trPr>
        <w:tc>
          <w:tcPr>
            <w:tcW w:type="dxa" w:w="3240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99 — Histórico de exploração</w:t>
            </w:r>
          </w:p>
        </w:tc>
        <w:tc>
          <w:tcPr>
            <w:tcW w:type="dxa" w:w="6192"/>
            <w:shd w:fill="F8FAFC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0" w:before="40" w:line="240" w:lineRule="auto"/>
            </w:pPr>
            <w:r>
              <w:rPr>
                <w:rFonts w:ascii="Arial" w:hAnsi="Arial"/>
                <w:sz w:val="17"/>
              </w:rPr>
              <w:t>Estudos anteriores, reunidos em ZIP e marcados como não normativos.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Referências visuais da conversa</w:t>
      </w:r>
    </w:p>
    <w:p>
      <w:hyperlink r:id="rId13">
        <w:r>
          <w:rPr>
            <w:color w:val="0F766E"/>
            <w:u w:val="single"/>
          </w:rPr>
          <w:t>01_mesiva_base_escolhida.png</w:t>
        </w:r>
      </w:hyperlink>
    </w:p>
    <w:p>
      <w:hyperlink r:id="rId14">
        <w:r>
          <w:rPr>
            <w:color w:val="0F766E"/>
            <w:u w:val="single"/>
          </w:rPr>
          <w:t>02_mesiva_refinamento_premium.png</w:t>
        </w:r>
      </w:hyperlink>
    </w:p>
    <w:p>
      <w:hyperlink r:id="rId15">
        <w:r>
          <w:rPr>
            <w:color w:val="0F766E"/>
            <w:u w:val="single"/>
          </w:rPr>
          <w:t>03_mesiva_refinamento_minimal.png</w:t>
        </w:r>
      </w:hyperlink>
    </w:p>
    <w:p>
      <w:hyperlink r:id="rId16">
        <w:r>
          <w:rPr>
            <w:color w:val="0F766E"/>
            <w:u w:val="single"/>
          </w:rPr>
          <w:t>04_mesiva_refinamento_icone.png</w:t>
        </w:r>
      </w:hyperlink>
    </w:p>
    <w:p>
      <w:pPr>
        <w:spacing w:after="60"/>
      </w:pPr>
      <w:r>
        <w:rPr>
          <w:sz w:val="17"/>
        </w:rPr>
        <w:t>As quatro imagens preservam os estudos da rodada de setembro, com 1448 × 1086 px. A primeira foi a base escolhida e as demais, refinamentos visuais. Sua geometria e o slogan em inglês não substituem os SVGs de outubro; manter os hashes do manifesto como referência histórica.</w:t>
      </w:r>
    </w:p>
    <w:p>
      <w:pPr>
        <w:pStyle w:val="Heading2"/>
      </w:pPr>
      <w:r>
        <w:t>Fontes técnicas externas</w:t>
      </w:r>
    </w:p>
    <w:p>
      <w:r>
        <w:t>As regras e os cálculos de contraste usam as definições do W3C. Os limites de toque e a separação entre contraste textual e não textual são critérios de avaliação, não uma afirmação de conformidade atual do app.</w:t>
      </w:r>
    </w:p>
    <w:p>
      <w:hyperlink r:id="rId17">
        <w:r>
          <w:rPr>
            <w:color w:val="0F766E"/>
            <w:u w:val="single"/>
          </w:rPr>
          <w:t>W3C — Contraste de texto (1.4.3)</w:t>
        </w:r>
      </w:hyperlink>
    </w:p>
    <w:p>
      <w:hyperlink r:id="rId18">
        <w:r>
          <w:rPr>
            <w:color w:val="0F766E"/>
            <w:u w:val="single"/>
          </w:rPr>
          <w:t>W3C — Contraste não textual (1.4.11)</w:t>
        </w:r>
      </w:hyperlink>
    </w:p>
    <w:p>
      <w:hyperlink r:id="rId19">
        <w:r>
          <w:rPr>
            <w:color w:val="0F766E"/>
            <w:u w:val="single"/>
          </w:rPr>
          <w:t>W3C — Alvos de interação (2.5.8)</w:t>
        </w:r>
      </w:hyperlink>
    </w:p>
    <w:p>
      <w:pPr>
        <w:spacing w:after="60"/>
      </w:pPr>
      <w:r>
        <w:rPr>
          <w:sz w:val="17"/>
        </w:rPr>
        <w:t>Este guia combina as fontes W3C e as decisões do projeto documentadas nas edições de setembro e outubro. Esta revisão não investigou novamente disponibilidade de domínio, registro no INPI, licenças externas ou conformidade visual de todas as telas.</w:t>
      </w:r>
    </w:p>
    <w:p>
      <w:pPr>
        <w:pStyle w:val="Heading2"/>
      </w:pPr>
      <w:r>
        <w:t>Uso em futuras sessões de desenvolvimento</w:t>
      </w:r>
    </w:p>
    <w:p>
      <w:pPr>
        <w:spacing w:after="60"/>
      </w:pPr>
      <w:r>
        <w:rPr>
          <w:sz w:val="17"/>
        </w:rPr>
        <w:t>Usar o link desta pasta ou do guia como referência explícita no início das tarefas. A consulta precisa ser feita ao documento vigente. Salvar no Drive não anexa automaticamente os arquivos ao contexto de todas as conversas nem configura ferramentas de desenvolvimento.</w:t>
      </w:r>
    </w:p>
    <w:p>
      <w:pPr>
        <w:spacing w:after="160"/>
        <w:pageBreakBefore/>
      </w:pPr>
      <w:r>
        <w:rPr>
          <w:b/>
          <w:color w:val="0F766E"/>
          <w:sz w:val="18"/>
        </w:rPr>
        <w:t>07  /  GUIA DE APLICAÇÃO</w:t>
      </w:r>
    </w:p>
    <w:p>
      <w:pPr>
        <w:pStyle w:val="Heading1"/>
      </w:pPr>
      <w:r>
        <w:t>Referência visual escolhida</w:t>
      </w:r>
    </w:p>
    <w:p>
      <w:r>
        <w:rPr/>
        <w:t>Estudo visual original de setembro, preservado para contexto e direção. A assinatura e o slogan presentes na imagem não são os arquivos atuais da marca. Para uso no produto ou em material novo, consultar os vetores aprovados em 02/10.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989320" cy="4491990"/>
            <wp:docPr id="2" name="Picture 2" descr="Painel completo da primeira variação Mesiva escolhida, com logotipo, paleta e aplicações ilustra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esiva_base_escolhi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491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Base escolhida • PNG original • 1448 × 1086 px</w:t>
      </w:r>
    </w:p>
    <w:p>
      <w:hyperlink r:id="rId13">
        <w:r>
          <w:rPr>
            <w:color w:val="0F766E"/>
            <w:u w:val="single"/>
          </w:rPr>
          <w:t>Abrir a imagem original em tamanho completo</w:t>
        </w:r>
      </w:hyperlink>
    </w:p>
    <w:p>
      <w:pPr>
        <w:spacing w:before="100" w:after="200"/>
        <w:shd w:fill="DFF7F1"/>
      </w:pPr>
      <w:r>
        <w:rPr/>
        <w:t>Não copiar como especificação: telas, métricas, textos em inglês e fotografias desta imagem são ilustrativos. A imagem histórica não revoga as decisões do logotipo e slogan de outubro nem define funcionalidades novas.</w:t>
      </w:r>
    </w:p>
    <w:p>
      <w:pPr>
        <w:pStyle w:val="Heading2"/>
      </w:pPr>
      <w:r>
        <w:t>O que preservar desta referência</w:t>
      </w:r>
    </w:p>
    <w:p>
      <w:r>
        <w:t>O M acolhedor com os talheres; o contraste entre marinho e verde-água; o destaque amarelo; tipografia arredondada; formas suaves; e espaço de respiro. Nas telas operacionais, aplicar esses princípios sem sacrificar informação, foco ou velocidade de leitura.</w:t>
      </w:r>
    </w:p>
    <w:p>
      <w:pPr>
        <w:spacing w:after="160"/>
        <w:pageBreakBefore/>
      </w:pPr>
      <w:r>
        <w:rPr>
          <w:b/>
          <w:color w:val="0F766E"/>
          <w:sz w:val="18"/>
        </w:rPr>
        <w:t>08  /  GUIA DE APLICAÇÃO</w:t>
      </w:r>
    </w:p>
    <w:p>
      <w:pPr>
        <w:pStyle w:val="Heading1"/>
      </w:pPr>
      <w:r>
        <w:t>Refinamentos complementares</w:t>
      </w:r>
    </w:p>
    <w:p>
      <w:r>
        <w:rPr/>
        <w:t>Três aproximações históricas da direção de setembro. Os recortes facilitam a consulta, mas não representam variantes oficiais para uso em produto. Os SVGs finais de outubro são a referência técnica atual.</w:t>
      </w:r>
    </w:p>
    <w:p>
      <w:pPr>
        <w:pStyle w:val="Heading2"/>
      </w:pPr>
      <w:r>
        <w:t>A — Refinamento premium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394960" cy="1716578"/>
            <wp:docPr id="3" name="Picture 3" descr="Recorte visual do A — Refinamento premium da Mesiva; referência, não ativo fi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1_recor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4">
        <w:r>
          <w:rPr>
            <w:color w:val="0F766E"/>
            <w:u w:val="single"/>
          </w:rPr>
          <w:t>Consultar o painel completo</w:t>
        </w:r>
      </w:hyperlink>
    </w:p>
    <w:p>
      <w:pPr>
        <w:pStyle w:val="Heading2"/>
      </w:pPr>
      <w:r>
        <w:t>B — Refinamento minimal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394960" cy="1716578"/>
            <wp:docPr id="4" name="Picture 4" descr="Recorte visual do B — Refinamento minimal da Mesiva; referência, não ativo fi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2_recor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5">
        <w:r>
          <w:rPr>
            <w:color w:val="0F766E"/>
            <w:u w:val="single"/>
          </w:rPr>
          <w:t>Consultar o painel completo</w:t>
        </w:r>
      </w:hyperlink>
    </w:p>
    <w:p>
      <w:pPr>
        <w:pStyle w:val="Heading2"/>
      </w:pPr>
      <w:r>
        <w:t>C — Refinamento orientado a ícone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394960" cy="1716578"/>
            <wp:docPr id="5" name="Picture 5" descr="Recorte visual do C — Refinamento orientado a ícone da Mesiva; referência, não ativo fin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3_rec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71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hyperlink r:id="rId16">
        <w:r>
          <w:rPr>
            <w:color w:val="0F766E"/>
            <w:u w:val="single"/>
          </w:rPr>
          <w:t>Consultar o painel completo</w:t>
        </w:r>
      </w:hyperlink>
    </w:p>
    <w:p>
      <w:pPr>
        <w:pStyle w:val="Caption"/>
      </w:pPr>
      <w:r>
        <w:rPr/>
        <w:t>Os estudos de setembro preservam o processo criativo; o fechamento de curvas, lettering, slogan e ícones foi documentado posteriormente em 02/10/2026. Não reconstruir a marca a partir destes painéis: usar os arquivos vetoriais aprovados e versionados.</w:t>
      </w:r>
    </w:p>
    <w:p>
      <w:r>
        <w:br w:type="page"/>
      </w:r>
    </w:p>
    <w:p>
      <w:pPr/>
      <w:r>
        <w:rPr>
          <w:b/>
          <w:color w:val="0F9F91"/>
          <w:sz w:val="18"/>
        </w:rPr>
        <w:t>09  /  ATUALIZAÇÃO DOCUMENTAL</w:t>
      </w:r>
    </w:p>
    <w:p>
      <w:pPr>
        <w:pStyle w:val="Heading1"/>
      </w:pPr>
      <w:r>
        <w:t>Ativos aprovados e registro da revisão</w:t>
      </w:r>
    </w:p>
    <w:p>
      <w:r>
        <w:rPr>
          <w:b/>
        </w:rPr>
        <w:t>EDIÇÃO OFICIAL v1.1  •  Conciliação de setembro e outubro de 2026</w:t>
      </w:r>
    </w:p>
    <w:p>
      <w:pPr>
        <w:spacing w:after="160"/>
      </w:pPr>
      <w:r>
        <w:t>O símbolo ao lado e na capa corresponde ao arquivo SVG aprovado, public/brand/mesiva-icon.svg. A composição tipográfica da capa é editorial, não um substituto para os SVGs horizontais do produto.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iva-ic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Assinaturas canônicas</w:t>
      </w:r>
    </w:p>
    <w:p>
      <w:pPr>
        <w:spacing w:after="40"/>
      </w:pPr>
      <w:r>
        <w:rPr>
          <w:b/>
        </w:rPr>
        <w:t xml:space="preserve">Horizontal para fundos claros: </w:t>
      </w:r>
      <w:r>
        <w:t>public/brand/mesiva-logo.svg</w:t>
      </w:r>
    </w:p>
    <w:p>
      <w:pPr>
        <w:spacing w:after="40"/>
      </w:pPr>
      <w:r>
        <w:rPr>
          <w:b/>
        </w:rPr>
        <w:t xml:space="preserve">Horizontal para fundos escuros: </w:t>
      </w:r>
      <w:r>
        <w:t>public/brand/mesiva-logo-dark.svg</w:t>
      </w:r>
    </w:p>
    <w:p>
      <w:pPr>
        <w:spacing w:after="40"/>
      </w:pPr>
      <w:r>
        <w:rPr>
          <w:b/>
        </w:rPr>
        <w:t xml:space="preserve">Ícone/símbolo aprovado: </w:t>
      </w:r>
      <w:r>
        <w:t>public/brand/mesiva-icon.svg</w:t>
      </w:r>
    </w:p>
    <w:p>
      <w:pPr>
        <w:spacing w:after="40"/>
      </w:pPr>
      <w:r>
        <w:rPr>
          <w:b/>
        </w:rPr>
        <w:t xml:space="preserve">Favicon vetorial: </w:t>
      </w:r>
      <w:r>
        <w:t>public/brand/mesiva-favicon.svg</w:t>
      </w:r>
    </w:p>
    <w:p>
      <w:pPr>
        <w:pStyle w:val="Heading2"/>
      </w:pPr>
      <w:r>
        <w:t>O que muda em relação à v1.0</w:t>
      </w:r>
    </w:p>
    <w:p>
      <w:pPr>
        <w:spacing w:after="40"/>
      </w:pPr>
      <w:r>
        <w:rPr>
          <w:b/>
        </w:rPr>
        <w:t xml:space="preserve">DV-01  </w:t>
      </w:r>
      <w:r>
        <w:t>O vetor e os ícones deixaram de ser pendências gerais; variantes não disponibilizadas, como monocromática universal, ainda exigem aceite.</w:t>
      </w:r>
    </w:p>
    <w:p>
      <w:pPr>
        <w:spacing w:after="40"/>
      </w:pPr>
      <w:r>
        <w:rPr>
          <w:b/>
        </w:rPr>
        <w:t xml:space="preserve">DV-02  </w:t>
      </w:r>
      <w:r>
        <w:t>O slogan vigente é “Pessoas. Sabor. Evolução.”. A frase em inglês nas imagens antigas é apenas histórico.</w:t>
      </w:r>
    </w:p>
    <w:p>
      <w:pPr>
        <w:spacing w:after="40"/>
      </w:pPr>
      <w:r>
        <w:rPr>
          <w:b/>
        </w:rPr>
        <w:t xml:space="preserve">DV-03  </w:t>
      </w:r>
      <w:r>
        <w:t>Paleta v1.0 da interface: #14B8A6. Verde do SVG final: #0F9F91. Diferença registrada; não recolorir automaticamente.</w:t>
      </w:r>
    </w:p>
    <w:p>
      <w:pPr>
        <w:spacing w:after="40"/>
      </w:pPr>
      <w:r>
        <w:rPr>
          <w:b/>
        </w:rPr>
        <w:t xml:space="preserve">DV-04  </w:t>
      </w:r>
      <w:r>
        <w:t>Tema Clássico e estilos legados continuam como compatibilidade. Não classificá-los como nova identidade Mesiva.</w:t>
      </w:r>
    </w:p>
    <w:p>
      <w:pPr>
        <w:spacing w:after="40"/>
      </w:pPr>
      <w:r>
        <w:rPr>
          <w:b/>
        </w:rPr>
        <w:t xml:space="preserve">DV-05  </w:t>
      </w:r>
      <w:r>
        <w:t>Lettering e slogan são contornos vetoriais; não escolher uma “fonte do logo” por aproximação.</w:t>
      </w:r>
    </w:p>
    <w:p>
      <w:pPr>
        <w:pStyle w:val="Heading2"/>
      </w:pPr>
      <w:r>
        <w:t>Publicação e rastreabilidade</w:t>
      </w:r>
    </w:p>
    <w:p>
      <w:pPr>
        <w:spacing w:after="40"/>
      </w:pPr>
      <w:r>
        <w:t>Referência técnica verificada: Mesiva/master, commit 9289523 (PRs #108, #117 e #118); refinamento de marca aprovado em 02/10/2026. A revisão do guia foi aprovada em 17/10/2026. A edição v1.0 permanece como referência histórica no Drive. Word e PDF devem ser publicados juntos; o arquivo 00_COMECE_AQUI.md e a documentação viva devem apontar para a edição aprovada.</w:t>
      </w:r>
    </w:p>
    <w:p>
      <w:r>
        <w:rPr>
          <w:i/>
          <w:sz w:val="17"/>
        </w:rPr>
        <w:t>Nenhum código, logo SVG, paleta ou configuração foi alterado por este documento. Registro de marca, domínio, versão monocromática universal e certificação de acessibilidade permanecem fora do escopo comprovado.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23" w:bottom="979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EDIÇÃO OFICIAL APROVADA  •  v1.1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0" w:color="14B8A6" w:space="8"/>
      </w:pBdr>
    </w:pPr>
    <w:r>
      <w:rPr>
        <w:b/>
        <w:color w:val="0F2747"/>
        <w:sz w:val="16"/>
      </w:rPr>
      <w:t>MESIVA  /  IDENTIDADE VISUAL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F2747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F27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F27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F2747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264" w:lineRule="auto"/>
    </w:pPr>
    <w:rPr>
      <w:rFonts w:ascii="Arial" w:hAnsi="Arial"/>
      <w:color w:val="334155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47556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drive.google.com/drive/folders/1rnbWOVUG9s_fLjwTMBCWUJNIqvm5qPO5" TargetMode="External"/><Relationship Id="rId13" Type="http://schemas.openxmlformats.org/officeDocument/2006/relationships/hyperlink" Target="https://drive.google.com/file/d/1RZxDU_RfT_5NGsQwIOWebdPbNrmIc2Wz/view?usp=drivesdk" TargetMode="External"/><Relationship Id="rId14" Type="http://schemas.openxmlformats.org/officeDocument/2006/relationships/hyperlink" Target="https://drive.google.com/file/d/18LIuBOxdP_JGPw0NBWyjKtOgy4jgKgXh/view?usp=drivesdk" TargetMode="External"/><Relationship Id="rId15" Type="http://schemas.openxmlformats.org/officeDocument/2006/relationships/hyperlink" Target="https://drive.google.com/file/d/1NOcW0iJILchcUgwGOvy7MJX1BJiwdcE_/view?usp=drivesdk" TargetMode="External"/><Relationship Id="rId16" Type="http://schemas.openxmlformats.org/officeDocument/2006/relationships/hyperlink" Target="https://drive.google.com/file/d/1Vk16WjTYSMmzdZ1FruxJNtsEQp5kQnLR/view?usp=drivesdk" TargetMode="External"/><Relationship Id="rId17" Type="http://schemas.openxmlformats.org/officeDocument/2006/relationships/hyperlink" Target="https://www.w3.org/WAI/WCAG22/Understanding/contrast-minimum.html" TargetMode="External"/><Relationship Id="rId18" Type="http://schemas.openxmlformats.org/officeDocument/2006/relationships/hyperlink" Target="https://www.w3.org/WAI/WCAG22/Understanding/non-text-contrast.html" TargetMode="External"/><Relationship Id="rId19" Type="http://schemas.openxmlformats.org/officeDocument/2006/relationships/hyperlink" Target="https://www.w3.org/WAI/WCAG22/Understanding/target-size-minimum" TargetMode="Externa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Mesiva — Guia oficial de identidade visual v1.1</dc:title>
  <dc:subject>Edição oficial aprovada em 17/10/2026; consolidação da marca e ativos aprovados em outubro</dc:subject>
  <dc:creator>Projeto Gestão Delivery</dc:creator>
  <cp:keywords>Mesiva, identidade visual, guia de marca, v1.1</cp:keywords>
  <dc:description>Minuta para avaliação; não substitui a edição oficial publicada no Drive.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