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TENENT judge interview preparation</w:t>
      </w:r>
    </w:p>
    <w:p>
      <w:pPr>
        <w:pStyle w:val="Subtitle"/>
      </w:pPr>
      <w:r>
        <w:t>Common questions through technical follow ups</w:t>
      </w:r>
    </w:p>
    <w:p>
      <w:pPr>
        <w:keepNext w:val="0"/>
        <w:spacing w:after="120"/>
      </w:pPr>
      <w:r>
        <w:t>Use this guide to rehearse clear answers about the product, its data and its technical design. Questions are ordered from likely opening questions to deeper implementation details. The central message is that TENENT connects a property and date to inspectable rules, useful missing facts and exact evidence.</w:t>
      </w:r>
    </w:p>
    <w:p>
      <w:pPr>
        <w:keepNext w:val="0"/>
        <w:spacing w:after="120"/>
      </w:pPr>
      <w:r>
        <w:t>The spoken answers are designed for roughly 15 to 30 seconds. Learn the point rather than memorizing every word. Start with the answer, pause, and use the follow-up only when the judge asks for more.</w:t>
      </w:r>
    </w:p>
    <w:p>
      <w:pPr>
        <w:pStyle w:val="Heading1"/>
      </w:pPr>
      <w:r>
        <w:t>Rehearsal priorities</w:t>
      </w:r>
    </w:p>
    <w:p>
      <w:pPr>
        <w:keepNext w:val="0"/>
        <w:spacing w:after="120"/>
      </w:pPr>
      <w:r>
        <w:rPr>
          <w:b/>
        </w:rPr>
        <w:t xml:space="preserve">If you have five minutes </w:t>
      </w:r>
      <w:r>
        <w:t>Practice questions 1, 3, 4, 7, 8 and 9. You should be able to explain the value, show the workflow and answer the data-quality question without dodging it.</w:t>
      </w:r>
    </w:p>
    <w:p>
      <w:pPr>
        <w:keepNext w:val="0"/>
        <w:spacing w:after="120"/>
      </w:pPr>
      <w:r>
        <w:rPr>
          <w:b/>
        </w:rPr>
        <w:t xml:space="preserve">If you have ten more minutes </w:t>
      </w:r>
      <w:r>
        <w:t>Add questions 11, 12, 16, 17, 18 and 22. These cover missing facts, hypothetical law, architecture, AI boundaries and security.</w:t>
      </w:r>
    </w:p>
    <w:p>
      <w:pPr>
        <w:keepNext w:val="0"/>
        <w:spacing w:after="120"/>
      </w:pPr>
      <w:r>
        <w:rPr>
          <w:b/>
        </w:rPr>
        <w:t xml:space="preserve">For a technical judge </w:t>
      </w:r>
      <w:r>
        <w:t>Practice questions 19 and 23 through 28. Use the evidence links to open one concrete example rather than reciting implementation terms.</w:t>
      </w:r>
    </w:p>
    <w:p>
      <w:pPr>
        <w:pStyle w:val="Heading1"/>
      </w:pPr>
      <w:r>
        <w:t>Before the live presentation</w:t>
      </w:r>
    </w:p>
    <w:p>
      <w:pPr>
        <w:keepNext w:val="0"/>
        <w:spacing w:after="120"/>
      </w:pPr>
      <w:r>
        <w:t>Confirm the served snapshot and its health response, rehearse the exact property and date, and check which useful question appears. Keep local extraction results separate from deployed data. If the live service is unavailable, announce the fictional backup before showing it.</w:t>
      </w:r>
    </w:p>
    <w:p>
      <w:pPr>
        <w:keepNext w:val="0"/>
        <w:spacing w:after="120"/>
      </w:pPr>
      <w:r>
        <w:t>The readiness checkpoint for this guide is October 4, 2026. The full data gate remains partial while fresh extraction is reviewed. Do not turn passing software tests, a merged pull request or a reproducible output into a claim that all five cases pass or that legal accuracy has been established.</w:t>
      </w:r>
    </w:p>
    <w:p>
      <w:pPr>
        <w:pStyle w:val="Heading1"/>
      </w:pPr>
      <w:r>
        <w:t>When you do not know</w:t>
      </w:r>
    </w:p>
    <w:p>
      <w:pPr>
        <w:keepNext w:val="0"/>
        <w:spacing w:after="120"/>
      </w:pPr>
      <w:r>
        <w:t>“We have not established that yet. Here is what we can show, and here is the evidence we would need to answer it.” Then name the specific gap. Avoid replacing an unknown with a guessed date, a customer claim or an expected competition answer.</w:t>
      </w:r>
    </w:p>
    <w:p>
      <w:pPr>
        <w:keepNext w:val="0"/>
        <w:spacing w:after="0"/>
      </w:pPr>
      <w:r>
        <w:rPr>
          <w:sz w:val="19"/>
        </w:rPr>
        <w:t>Evidence links point to the inspected repository revision. Check the latest named data report before quoting a changing readiness result. The guide proposes customer and business hypotheses; it does not claim validated demand.</w:t>
      </w:r>
    </w:p>
    <w:p>
      <w:r>
        <w:br w:type="page"/>
      </w:r>
    </w:p>
    <w:p>
      <w:pPr>
        <w:pStyle w:val="Heading1"/>
      </w:pPr>
      <w:r>
        <w:t>The questions most judges will ask first</w:t>
      </w:r>
    </w:p>
    <w:p>
      <w:pPr>
        <w:keepNext/>
        <w:spacing w:after="60"/>
      </w:pPr>
      <w:r>
        <w:rPr>
          <w:sz w:val="19"/>
        </w:rPr>
        <w:t>Rehearse first</w:t>
      </w:r>
    </w:p>
    <w:p>
      <w:pPr>
        <w:pStyle w:val="Heading2"/>
      </w:pPr>
      <w:r>
        <w:t>01 What problem does TENENT solve</w:t>
      </w:r>
    </w:p>
    <w:p>
      <w:pPr>
        <w:keepNext/>
        <w:spacing w:after="120"/>
      </w:pPr>
      <w:r>
        <w:rPr>
          <w:b/>
        </w:rPr>
        <w:t xml:space="preserve">Say </w:t>
      </w:r>
      <w:r>
        <w:t>City and state rental rules overlap and change on different dates. TENENT helps a property team investigate which rules might govern one building, why, and which missing fact matters next. The result stays connected to the source, so the researcher can inspect the reasoning and continue the investigation.</w:t>
      </w:r>
    </w:p>
    <w:p>
      <w:pPr>
        <w:keepNext/>
        <w:spacing w:after="120"/>
      </w:pPr>
      <w:r>
        <w:rPr>
          <w:b/>
        </w:rPr>
        <w:t xml:space="preserve">If asked further </w:t>
      </w:r>
      <w:r>
        <w:t>If they ask for a concrete example, describe a property whose coverage depends on occupancy or unit count. Call the example hypothetical unless the selected live property actually has that condition. The benefit is a focused research workflow, not a compliance certificate.</w:t>
      </w:r>
    </w:p>
    <w:p>
      <w:pPr>
        <w:keepNext/>
        <w:spacing w:after="60"/>
      </w:pPr>
      <w:r>
        <w:rPr>
          <w:b/>
          <w:sz w:val="20"/>
        </w:rPr>
        <w:t xml:space="preserve">Evidence </w:t>
      </w:r>
      <w:r>
        <w:rPr>
          <w:sz w:val="20"/>
        </w:rPr>
        <w:t>Open one property and its explicit as of date, then the result and Evidence view.</w:t>
      </w:r>
    </w:p>
    <w:p>
      <w:pPr>
        <w:keepNext w:val="0"/>
        <w:spacing w:after="100"/>
      </w:pPr>
      <w:r>
        <w:rPr>
          <w:sz w:val="19"/>
        </w:rPr>
      </w:r>
      <w:hyperlink r:id="rId10">
        <w:r>
          <w:rPr>
            <w:color w:val="000000"/>
            <w:u w:val="single"/>
            <w:sz w:val="19"/>
            <w:rFonts w:ascii="Arial" w:hAnsi="Arial"/>
          </w:rPr>
          <w:t>Product contract</w:t>
        </w:r>
      </w:hyperlink>
      <w:r>
        <w:rPr>
          <w:sz w:val="19"/>
        </w:rPr>
        <w:t xml:space="preserve">  |  </w:t>
      </w:r>
      <w:hyperlink r:id="rId11">
        <w:r>
          <w:rPr>
            <w:color w:val="000000"/>
            <w:u w:val="single"/>
            <w:sz w:val="19"/>
            <w:rFonts w:ascii="Arial" w:hAnsi="Arial"/>
          </w:rPr>
          <w:t>Live demo guide</w:t>
        </w:r>
      </w:hyperlink>
    </w:p>
    <w:p>
      <w:pPr>
        <w:pStyle w:val="Heading2"/>
      </w:pPr>
      <w:r>
        <w:t>02 Who would use it and who might pay for it</w:t>
      </w:r>
    </w:p>
    <w:p>
      <w:pPr>
        <w:keepNext/>
        <w:spacing w:after="120"/>
      </w:pPr>
      <w:r>
        <w:rPr>
          <w:b/>
        </w:rPr>
        <w:t xml:space="preserve">Say </w:t>
      </w:r>
      <w:r>
        <w:t>Our intended users are people who research rules across rental properties, such as property operations or compliance teams. A possible buyer is a team that repeatedly checks different buildings and dates. That is a customer hypothesis. We have not established paying customers, willingness to pay or a validated price.</w:t>
      </w:r>
    </w:p>
    <w:p>
      <w:pPr>
        <w:keepNext/>
        <w:spacing w:after="120"/>
      </w:pPr>
      <w:r>
        <w:rPr>
          <w:b/>
        </w:rPr>
        <w:t xml:space="preserve">If asked further </w:t>
      </w:r>
      <w:r>
        <w:t>A sensible next interview would ask how that team researches a rule today, how often the task repeats, what requires legal review and whether an inspectable result saves work. A subscription or workflow integration is a possible model, not a proven business.</w:t>
      </w:r>
    </w:p>
    <w:p>
      <w:pPr>
        <w:keepNext/>
        <w:spacing w:after="60"/>
      </w:pPr>
      <w:r>
        <w:rPr>
          <w:b/>
          <w:sz w:val="20"/>
        </w:rPr>
        <w:t xml:space="preserve">Evidence </w:t>
      </w:r>
      <w:r>
        <w:rPr>
          <w:sz w:val="20"/>
        </w:rPr>
        <w:t>Point to the property and date workflow as the proposed use case. Do not invent customer names, pilots, market size or revenue.</w:t>
      </w:r>
    </w:p>
    <w:p>
      <w:pPr>
        <w:keepNext w:val="0"/>
        <w:spacing w:after="100"/>
      </w:pPr>
      <w:r>
        <w:rPr>
          <w:sz w:val="19"/>
        </w:rPr>
      </w:r>
      <w:hyperlink r:id="rId12">
        <w:r>
          <w:rPr>
            <w:color w:val="000000"/>
            <w:u w:val="single"/>
            <w:sz w:val="19"/>
            <w:rFonts w:ascii="Arial" w:hAnsi="Arial"/>
          </w:rPr>
          <w:t>Project scope</w:t>
        </w:r>
      </w:hyperlink>
    </w:p>
    <w:p>
      <w:pPr>
        <w:pStyle w:val="Heading2"/>
      </w:pPr>
      <w:r>
        <w:t>03 Why not just use a chatbot or search engine</w:t>
      </w:r>
    </w:p>
    <w:p>
      <w:pPr>
        <w:keepNext/>
        <w:spacing w:after="120"/>
      </w:pPr>
      <w:r>
        <w:rPr>
          <w:b/>
        </w:rPr>
        <w:t xml:space="preserve">Say </w:t>
      </w:r>
      <w:r>
        <w:t>TENENT organizes the research around a property, a date and explicit rule conditions. Its evaluator can reuse the same conditions after a property answer changes, while the source quote and unresolved issues remain visible. That gives the researcher a consistent object to inspect and revisit rather than only a prose answer.</w:t>
      </w:r>
    </w:p>
    <w:p>
      <w:pPr>
        <w:keepNext/>
        <w:spacing w:after="120"/>
      </w:pPr>
      <w:r>
        <w:rPr>
          <w:b/>
        </w:rPr>
        <w:t xml:space="preserve">If asked further </w:t>
      </w:r>
      <w:r>
        <w:t>Do not claim every chatbot lacks citations or that we have beaten a competitor. The concrete distinction to demonstrate is structured, repeatable evaluation with request-local facts, exact evidence and separate actual and hypothetical scenarios.</w:t>
      </w:r>
    </w:p>
    <w:p>
      <w:pPr>
        <w:keepNext/>
        <w:spacing w:after="60"/>
      </w:pPr>
      <w:r>
        <w:rPr>
          <w:b/>
          <w:sz w:val="20"/>
        </w:rPr>
        <w:t xml:space="preserve">Evidence </w:t>
      </w:r>
      <w:r>
        <w:rPr>
          <w:sz w:val="20"/>
        </w:rPr>
        <w:t>Answer a useful question, inspect the updated result, and open the encoded rule and source.</w:t>
      </w:r>
    </w:p>
    <w:p>
      <w:pPr>
        <w:keepNext w:val="0"/>
        <w:spacing w:after="100"/>
      </w:pPr>
      <w:r>
        <w:rPr>
          <w:sz w:val="19"/>
        </w:rPr>
      </w:r>
      <w:hyperlink r:id="rId13">
        <w:r>
          <w:rPr>
            <w:color w:val="000000"/>
            <w:u w:val="single"/>
            <w:sz w:val="19"/>
            <w:rFonts w:ascii="Arial" w:hAnsi="Arial"/>
          </w:rPr>
          <w:t>Assist contract</w:t>
        </w:r>
      </w:hyperlink>
      <w:r>
        <w:rPr>
          <w:sz w:val="19"/>
        </w:rPr>
        <w:t xml:space="preserve">  |  </w:t>
      </w:r>
      <w:hyperlink r:id="rId14">
        <w:r>
          <w:rPr>
            <w:color w:val="000000"/>
            <w:u w:val="single"/>
            <w:sz w:val="19"/>
            <w:rFonts w:ascii="Arial" w:hAnsi="Arial"/>
          </w:rPr>
          <w:t>Evaluator</w:t>
        </w:r>
      </w:hyperlink>
    </w:p>
    <w:p>
      <w:r>
        <w:br w:type="page"/>
      </w:r>
    </w:p>
    <w:p>
      <w:pPr>
        <w:pStyle w:val="Heading1"/>
      </w:pPr>
      <w:r>
        <w:t>The demo and what the team built</w:t>
      </w:r>
    </w:p>
    <w:p>
      <w:pPr>
        <w:keepNext/>
        <w:spacing w:after="60"/>
      </w:pPr>
      <w:r>
        <w:rPr>
          <w:sz w:val="19"/>
        </w:rPr>
        <w:t>Rehearse first</w:t>
      </w:r>
    </w:p>
    <w:p>
      <w:pPr>
        <w:pStyle w:val="Heading2"/>
      </w:pPr>
      <w:r>
        <w:t>04 Can you show the product in one minute</w:t>
      </w:r>
    </w:p>
    <w:p>
      <w:pPr>
        <w:keepNext/>
        <w:spacing w:after="120"/>
      </w:pPr>
      <w:r>
        <w:rPr>
          <w:b/>
        </w:rPr>
        <w:t xml:space="preserve">Say </w:t>
      </w:r>
      <w:r>
        <w:t>I will start with one property and an explicit date. We can see the candidate rules and the remaining unknowns, answer a useful question as a labeled hypothetical, and open the exact source behind a result. I will describe what the current screen shows, including any uncertainty that remains.</w:t>
      </w:r>
    </w:p>
    <w:p>
      <w:pPr>
        <w:keepNext/>
        <w:spacing w:after="120"/>
      </w:pPr>
      <w:r>
        <w:rPr>
          <w:b/>
        </w:rPr>
        <w:t xml:space="preserve">If asked further </w:t>
      </w:r>
      <w:r>
        <w:t>Rehearse A0001 on October 1, 2026 against the actual running snapshot. A repaired dataset can change the question. If the service is unavailable, announce a fictional walkthrough and use the deck screenshots with their fictional labels intact.</w:t>
      </w:r>
    </w:p>
    <w:p>
      <w:pPr>
        <w:keepNext/>
        <w:spacing w:after="60"/>
      </w:pPr>
      <w:r>
        <w:rPr>
          <w:b/>
          <w:sz w:val="20"/>
        </w:rPr>
        <w:t xml:space="preserve">Evidence </w:t>
      </w:r>
      <w:r>
        <w:rPr>
          <w:sz w:val="20"/>
        </w:rPr>
        <w:t>Use the prepared lookup flow. Avoid an unrehearsed, cold portfolio comparison during the pitch.</w:t>
      </w:r>
    </w:p>
    <w:p>
      <w:pPr>
        <w:keepNext w:val="0"/>
        <w:spacing w:after="100"/>
      </w:pPr>
      <w:r>
        <w:rPr>
          <w:sz w:val="19"/>
        </w:rPr>
      </w:r>
      <w:hyperlink r:id="rId11">
        <w:r>
          <w:rPr>
            <w:color w:val="000000"/>
            <w:u w:val="single"/>
            <w:sz w:val="19"/>
            <w:rFonts w:ascii="Arial" w:hAnsi="Arial"/>
          </w:rPr>
          <w:t>Live demo guide</w:t>
        </w:r>
      </w:hyperlink>
      <w:r>
        <w:rPr>
          <w:sz w:val="19"/>
        </w:rPr>
        <w:t xml:space="preserve">  |  </w:t>
      </w:r>
      <w:hyperlink r:id="rId15">
        <w:r>
          <w:rPr>
            <w:color w:val="000000"/>
            <w:u w:val="single"/>
            <w:sz w:val="19"/>
            <w:rFonts w:ascii="Arial" w:hAnsi="Arial"/>
          </w:rPr>
          <w:t>Screenshot provenance</w:t>
        </w:r>
      </w:hyperlink>
    </w:p>
    <w:p>
      <w:pPr>
        <w:pStyle w:val="Heading2"/>
      </w:pPr>
      <w:r>
        <w:t>05 What did your team build versus the AI tooling</w:t>
      </w:r>
    </w:p>
    <w:p>
      <w:pPr>
        <w:keepNext/>
        <w:spacing w:after="120"/>
      </w:pPr>
      <w:r>
        <w:rPr>
          <w:b/>
        </w:rPr>
        <w:t xml:space="preserve">Say </w:t>
      </w:r>
      <w:r>
        <w:t>The project includes source ingestion and extraction, structured rule models, a deterministic evaluator, a planner for useful questions, evidence checks, API endpoints and the web interface. AI tooling helped with development and legal-text extraction. The application code defines how recorded rules and property facts produce results; AI assistance does not remove the need to test and review that code.</w:t>
      </w:r>
    </w:p>
    <w:p>
      <w:pPr>
        <w:keepNext/>
        <w:spacing w:after="120"/>
      </w:pPr>
      <w:r>
        <w:rPr>
          <w:b/>
        </w:rPr>
        <w:t xml:space="preserve">If asked further </w:t>
      </w:r>
      <w:r>
        <w:t>If a judge asks who wrote a particular component, describe only the contribution you personally know. Do not attribute work to a named teammate or claim a model built the whole product. Separate development assistance from model calls used by the extraction pipeline.</w:t>
      </w:r>
    </w:p>
    <w:p>
      <w:pPr>
        <w:keepNext/>
        <w:spacing w:after="60"/>
      </w:pPr>
      <w:r>
        <w:rPr>
          <w:b/>
          <w:sz w:val="20"/>
        </w:rPr>
        <w:t xml:space="preserve">Evidence </w:t>
      </w:r>
      <w:r>
        <w:rPr>
          <w:sz w:val="20"/>
        </w:rPr>
        <w:t>Use the repository modules and API contract to explain the implementation boundary.</w:t>
      </w:r>
    </w:p>
    <w:p>
      <w:pPr>
        <w:keepNext w:val="0"/>
        <w:spacing w:after="100"/>
      </w:pPr>
      <w:r>
        <w:rPr>
          <w:sz w:val="19"/>
        </w:rPr>
      </w:r>
      <w:hyperlink r:id="rId12">
        <w:r>
          <w:rPr>
            <w:color w:val="000000"/>
            <w:u w:val="single"/>
            <w:sz w:val="19"/>
            <w:rFonts w:ascii="Arial" w:hAnsi="Arial"/>
          </w:rPr>
          <w:t>Project overview</w:t>
        </w:r>
      </w:hyperlink>
      <w:r>
        <w:rPr>
          <w:sz w:val="19"/>
        </w:rPr>
        <w:t xml:space="preserve">  |  </w:t>
      </w:r>
      <w:hyperlink r:id="rId10">
        <w:r>
          <w:rPr>
            <w:color w:val="000000"/>
            <w:u w:val="single"/>
            <w:sz w:val="19"/>
            <w:rFonts w:ascii="Arial" w:hAnsi="Arial"/>
          </w:rPr>
          <w:t>API contract</w:t>
        </w:r>
      </w:hyperlink>
      <w:r>
        <w:rPr>
          <w:sz w:val="19"/>
        </w:rPr>
        <w:t xml:space="preserve">  |  </w:t>
      </w:r>
      <w:hyperlink r:id="rId16">
        <w:r>
          <w:rPr>
            <w:color w:val="000000"/>
            <w:u w:val="single"/>
            <w:sz w:val="19"/>
            <w:rFonts w:ascii="Arial" w:hAnsi="Arial"/>
          </w:rPr>
          <w:t>Frontend package</w:t>
        </w:r>
      </w:hyperlink>
    </w:p>
    <w:p>
      <w:pPr>
        <w:pStyle w:val="Heading2"/>
      </w:pPr>
      <w:r>
        <w:t>06 Why is an unknown result useful</w:t>
      </w:r>
    </w:p>
    <w:p>
      <w:pPr>
        <w:keepNext/>
        <w:spacing w:after="120"/>
      </w:pPr>
      <w:r>
        <w:rPr>
          <w:b/>
        </w:rPr>
        <w:t xml:space="preserve">Say </w:t>
      </w:r>
      <w:r>
        <w:t>An unknown can identify the next action. Sometimes the missing piece is a property fact we can ask about. Sometimes it is a legal definition, a source version or an unresolved jurisdiction, which needs research instead. TENENT separates those cases so the user does not waste time answering a question that cannot settle the result.</w:t>
      </w:r>
    </w:p>
    <w:p>
      <w:pPr>
        <w:keepNext/>
        <w:spacing w:after="120"/>
      </w:pPr>
      <w:r>
        <w:rPr>
          <w:b/>
        </w:rPr>
        <w:t xml:space="preserve">If asked further </w:t>
      </w:r>
      <w:r>
        <w:t>Unknown is not evidence that the rule does not apply. The planner can expose a useful fact question or a non-question remedy. A complete plan can still leave unresolved law, and a bounded plan must say when its search was not exhaustive.</w:t>
      </w:r>
    </w:p>
    <w:p>
      <w:pPr>
        <w:keepNext/>
        <w:spacing w:after="60"/>
      </w:pPr>
      <w:r>
        <w:rPr>
          <w:b/>
          <w:sz w:val="20"/>
        </w:rPr>
        <w:t xml:space="preserve">Evidence </w:t>
      </w:r>
      <w:r>
        <w:rPr>
          <w:sz w:val="20"/>
        </w:rPr>
        <w:t>Point to a useful question and a remaining issue in the same result.</w:t>
      </w:r>
    </w:p>
    <w:p>
      <w:pPr>
        <w:keepNext w:val="0"/>
        <w:spacing w:after="100"/>
      </w:pPr>
      <w:r>
        <w:rPr>
          <w:sz w:val="19"/>
        </w:rPr>
      </w:r>
      <w:hyperlink r:id="rId17">
        <w:r>
          <w:rPr>
            <w:color w:val="000000"/>
            <w:u w:val="single"/>
            <w:sz w:val="19"/>
            <w:rFonts w:ascii="Arial" w:hAnsi="Arial"/>
          </w:rPr>
          <w:t>Question planner</w:t>
        </w:r>
      </w:hyperlink>
      <w:r>
        <w:rPr>
          <w:sz w:val="19"/>
        </w:rPr>
        <w:t xml:space="preserve">  |  </w:t>
      </w:r>
      <w:hyperlink r:id="rId13">
        <w:r>
          <w:rPr>
            <w:color w:val="000000"/>
            <w:u w:val="single"/>
            <w:sz w:val="19"/>
            <w:rFonts w:ascii="Arial" w:hAnsi="Arial"/>
          </w:rPr>
          <w:t>Assist contract</w:t>
        </w:r>
      </w:hyperlink>
    </w:p>
    <w:p>
      <w:r>
        <w:br w:type="page"/>
      </w:r>
    </w:p>
    <w:p>
      <w:pPr>
        <w:pStyle w:val="Heading1"/>
      </w:pPr>
      <w:r>
        <w:t>Data quality and the difficult readiness questions</w:t>
      </w:r>
    </w:p>
    <w:p>
      <w:pPr>
        <w:keepNext/>
        <w:spacing w:after="60"/>
      </w:pPr>
      <w:r>
        <w:rPr>
          <w:sz w:val="19"/>
        </w:rPr>
        <w:t>Rehearse first</w:t>
      </w:r>
    </w:p>
    <w:p>
      <w:pPr>
        <w:pStyle w:val="Heading2"/>
      </w:pPr>
      <w:r>
        <w:t>07 Where does the data come from and was it mostly news</w:t>
      </w:r>
    </w:p>
    <w:p>
      <w:pPr>
        <w:keepNext/>
        <w:spacing w:after="120"/>
      </w:pPr>
      <w:r>
        <w:rPr>
          <w:b/>
        </w:rPr>
        <w:t xml:space="preserve">Say </w:t>
      </w:r>
      <w:r>
        <w:t>The project combines captured legal sources with public property facts. In the original audited snapshot, we found no evidence that half the extracted rules came from news or the wrong API. The specific problem was official guidance being treated too much like primary legal text. Our source policy now separates research context from operative authority.</w:t>
      </w:r>
    </w:p>
    <w:p>
      <w:pPr>
        <w:keepNext/>
        <w:spacing w:after="120"/>
      </w:pPr>
      <w:r>
        <w:rPr>
          <w:b/>
        </w:rPr>
        <w:t xml:space="preserve">If asked further </w:t>
      </w:r>
      <w:r>
        <w:t>News and commentary can point us toward a primary instrument, but they cannot supply an operative requirement under our policy. Official status records can support lifecycle evidence without supplying substantive clauses. Official legal text still needs version, meaning and date review. The historical audit is not a census of every later snapshot.</w:t>
      </w:r>
    </w:p>
    <w:p>
      <w:pPr>
        <w:keepNext/>
        <w:spacing w:after="60"/>
      </w:pPr>
      <w:r>
        <w:rPr>
          <w:b/>
          <w:sz w:val="20"/>
        </w:rPr>
        <w:t xml:space="preserve">Evidence </w:t>
      </w:r>
      <w:r>
        <w:rPr>
          <w:sz w:val="20"/>
        </w:rPr>
        <w:t>Point to source metadata, source-use-v2 and the scoped source audit.</w:t>
      </w:r>
    </w:p>
    <w:p>
      <w:pPr>
        <w:keepNext w:val="0"/>
        <w:spacing w:after="100"/>
      </w:pPr>
      <w:r>
        <w:rPr>
          <w:sz w:val="19"/>
        </w:rPr>
      </w:r>
      <w:hyperlink r:id="rId18">
        <w:r>
          <w:rPr>
            <w:color w:val="000000"/>
            <w:u w:val="single"/>
            <w:sz w:val="19"/>
            <w:rFonts w:ascii="Arial" w:hAnsi="Arial"/>
          </w:rPr>
          <w:t>Source audit</w:t>
        </w:r>
      </w:hyperlink>
      <w:r>
        <w:rPr>
          <w:sz w:val="19"/>
        </w:rPr>
        <w:t xml:space="preserve">  |  </w:t>
      </w:r>
      <w:hyperlink r:id="rId19">
        <w:r>
          <w:rPr>
            <w:color w:val="000000"/>
            <w:u w:val="single"/>
            <w:sz w:val="19"/>
            <w:rFonts w:ascii="Arial" w:hAnsi="Arial"/>
          </w:rPr>
          <w:t>Source policy</w:t>
        </w:r>
      </w:hyperlink>
    </w:p>
    <w:p>
      <w:pPr>
        <w:pStyle w:val="Heading2"/>
      </w:pPr>
      <w:r>
        <w:t>08 How accurate is the system and how did you test it</w:t>
      </w:r>
    </w:p>
    <w:p>
      <w:pPr>
        <w:keepNext/>
        <w:spacing w:after="120"/>
      </w:pPr>
      <w:r>
        <w:rPr>
          <w:b/>
        </w:rPr>
        <w:t xml:space="preserve">Say </w:t>
      </w:r>
      <w:r>
        <w:t>We do not have an independent legal-accuracy percentage. We test software behavior, including dates, missing facts, evidence failures and API responses. We also run a separate readiness check on the actual data and change cases. Those are different checks: passing software tests does not prove that every extracted legal interpretation or competition scenario is correct.</w:t>
      </w:r>
    </w:p>
    <w:p>
      <w:pPr>
        <w:keepNext/>
        <w:spacing w:after="120"/>
      </w:pPr>
      <w:r>
        <w:rPr>
          <w:b/>
        </w:rPr>
        <w:t xml:space="preserve">If asked further </w:t>
      </w:r>
      <w:r>
        <w:t>A serious next evaluation would use a fixed, independently reviewed set of sources and property outcomes, record disagreements and separate extraction quality from evaluator correctness. A quote match, successful replay or green CI run cannot substitute for that benchmark.</w:t>
      </w:r>
    </w:p>
    <w:p>
      <w:pPr>
        <w:keepNext/>
        <w:spacing w:after="60"/>
      </w:pPr>
      <w:r>
        <w:rPr>
          <w:b/>
          <w:sz w:val="20"/>
        </w:rPr>
        <w:t xml:space="preserve">Evidence </w:t>
      </w:r>
      <w:r>
        <w:rPr>
          <w:sz w:val="20"/>
        </w:rPr>
        <w:t>Use software tests for implementation behavior and the data-readiness report for the selected dataset. Name the snapshot before quoting counts.</w:t>
      </w:r>
    </w:p>
    <w:p>
      <w:pPr>
        <w:keepNext w:val="0"/>
        <w:spacing w:after="100"/>
      </w:pPr>
      <w:r>
        <w:rPr>
          <w:sz w:val="19"/>
        </w:rPr>
      </w:r>
      <w:hyperlink r:id="rId20">
        <w:r>
          <w:rPr>
            <w:color w:val="000000"/>
            <w:u w:val="single"/>
            <w:sz w:val="19"/>
            <w:rFonts w:ascii="Arial" w:hAnsi="Arial"/>
          </w:rPr>
          <w:t>Readiness diagnosis</w:t>
        </w:r>
      </w:hyperlink>
      <w:r>
        <w:rPr>
          <w:sz w:val="19"/>
        </w:rPr>
        <w:t xml:space="preserve">  |  </w:t>
      </w:r>
      <w:hyperlink r:id="rId21">
        <w:r>
          <w:rPr>
            <w:color w:val="000000"/>
            <w:u w:val="single"/>
            <w:sz w:val="19"/>
            <w:rFonts w:ascii="Arial" w:hAnsi="Arial"/>
          </w:rPr>
          <w:t>Readiness gate</w:t>
        </w:r>
      </w:hyperlink>
      <w:r>
        <w:rPr>
          <w:sz w:val="19"/>
        </w:rPr>
        <w:t xml:space="preserve">  |  </w:t>
      </w:r>
      <w:hyperlink r:id="rId22">
        <w:r>
          <w:rPr>
            <w:color w:val="000000"/>
            <w:u w:val="single"/>
            <w:sz w:val="19"/>
            <w:rFonts w:ascii="Arial" w:hAnsi="Arial"/>
          </w:rPr>
          <w:t>Evidence checks</w:t>
        </w:r>
      </w:hyperlink>
    </w:p>
    <w:p>
      <w:pPr>
        <w:pStyle w:val="Heading2"/>
      </w:pPr>
      <w:r>
        <w:t>09 Why were all five change cases not ready</w:t>
      </w:r>
    </w:p>
    <w:p>
      <w:pPr>
        <w:keepNext/>
        <w:spacing w:after="120"/>
      </w:pPr>
      <w:r>
        <w:rPr>
          <w:b/>
        </w:rPr>
        <w:t xml:space="preserve">Say </w:t>
      </w:r>
      <w:r>
        <w:t>The earlier output had partial or blocked cases and no established definite affected sets. Gaps included missing mapped documents, unresolved interpretations and unsupported state-to-local relationships. We repaired specific software and extraction issues and completed a bounded rerun of supported sources; final data verification is separate. We still report full readiness as partial, not as a software-CI success.</w:t>
      </w:r>
    </w:p>
    <w:p>
      <w:pPr>
        <w:keepNext/>
        <w:spacing w:after="120"/>
      </w:pPr>
      <w:r>
        <w:rPr>
          <w:b/>
        </w:rPr>
        <w:t xml:space="preserve">If asked further </w:t>
      </w:r>
      <w:r>
        <w:t>The saved submission, hosted research dataset and fresh local extraction are different artifacts. Do not mix their counts or present a local rerun as deployed. For a particular case, read its current mapping, source issues and reasons. A failed proposal can have a known lifecycle while the wider rule-production gate remains incomplete.</w:t>
      </w:r>
    </w:p>
    <w:p>
      <w:pPr>
        <w:keepNext/>
        <w:spacing w:after="60"/>
      </w:pPr>
      <w:r>
        <w:rPr>
          <w:b/>
          <w:sz w:val="20"/>
        </w:rPr>
        <w:t xml:space="preserve">Evidence </w:t>
      </w:r>
      <w:r>
        <w:rPr>
          <w:sz w:val="20"/>
        </w:rPr>
        <w:t>Open the case-specific readiness report and its snapshot identity. Do not infer an official score.</w:t>
      </w:r>
    </w:p>
    <w:p>
      <w:pPr>
        <w:keepNext w:val="0"/>
        <w:spacing w:after="100"/>
      </w:pPr>
      <w:r>
        <w:rPr>
          <w:sz w:val="19"/>
        </w:rPr>
      </w:r>
      <w:hyperlink r:id="rId20">
        <w:r>
          <w:rPr>
            <w:color w:val="000000"/>
            <w:u w:val="single"/>
            <w:sz w:val="19"/>
            <w:rFonts w:ascii="Arial" w:hAnsi="Arial"/>
          </w:rPr>
          <w:t>Case diagnosis and repair</w:t>
        </w:r>
      </w:hyperlink>
      <w:r>
        <w:rPr>
          <w:sz w:val="19"/>
        </w:rPr>
        <w:t xml:space="preserve">  |  </w:t>
      </w:r>
      <w:hyperlink r:id="rId21">
        <w:r>
          <w:rPr>
            <w:color w:val="000000"/>
            <w:u w:val="single"/>
            <w:sz w:val="19"/>
            <w:rFonts w:ascii="Arial" w:hAnsi="Arial"/>
          </w:rPr>
          <w:t>Readiness gate</w:t>
        </w:r>
      </w:hyperlink>
    </w:p>
    <w:p>
      <w:r>
        <w:br w:type="page"/>
      </w:r>
    </w:p>
    <w:p>
      <w:pPr>
        <w:pStyle w:val="Heading1"/>
      </w:pPr>
      <w:r>
        <w:t>Limits that should be explained plainly</w:t>
      </w:r>
    </w:p>
    <w:p>
      <w:pPr>
        <w:keepNext/>
        <w:spacing w:after="60"/>
      </w:pPr>
      <w:r>
        <w:rPr>
          <w:sz w:val="19"/>
        </w:rPr>
        <w:t>Rehearse next</w:t>
      </w:r>
    </w:p>
    <w:p>
      <w:pPr>
        <w:pStyle w:val="Heading2"/>
      </w:pPr>
      <w:r>
        <w:t>10 Is this legal advice or a compliance decision</w:t>
      </w:r>
    </w:p>
    <w:p>
      <w:pPr>
        <w:keepNext/>
        <w:spacing w:after="120"/>
      </w:pPr>
      <w:r>
        <w:rPr>
          <w:b/>
        </w:rPr>
        <w:t xml:space="preserve">Say </w:t>
      </w:r>
      <w:r>
        <w:t>No. TENENT is a research prototype. It helps a researcher inspect possible rule coverage and supporting evidence, but it does not certify compliance, determine a violation or replace qualified legal review. The interface keeps the date, source and unresolved reasons attached to the result so that those limits are visible where the decision is being considered.</w:t>
      </w:r>
    </w:p>
    <w:p>
      <w:pPr>
        <w:keepNext/>
        <w:spacing w:after="120"/>
      </w:pPr>
      <w:r>
        <w:rPr>
          <w:b/>
        </w:rPr>
        <w:t xml:space="preserve">If asked further </w:t>
      </w:r>
      <w:r>
        <w:t>An applicability result concerns the encoded coverage conditions. It does not prove the underlying property facts, settle every interpretation or establish that someone complied with a duty. Do not turn an applies label into an accusation or a legal assurance.</w:t>
      </w:r>
    </w:p>
    <w:p>
      <w:pPr>
        <w:keepNext/>
        <w:spacing w:after="60"/>
      </w:pPr>
      <w:r>
        <w:rPr>
          <w:b/>
          <w:sz w:val="20"/>
        </w:rPr>
        <w:t xml:space="preserve">Evidence </w:t>
      </w:r>
      <w:r>
        <w:rPr>
          <w:sz w:val="20"/>
        </w:rPr>
        <w:t>Point to the result disclaimer, as of date, evidence and unresolved reasons.</w:t>
      </w:r>
    </w:p>
    <w:p>
      <w:pPr>
        <w:keepNext w:val="0"/>
        <w:spacing w:after="100"/>
      </w:pPr>
      <w:r>
        <w:rPr>
          <w:sz w:val="19"/>
        </w:rPr>
      </w:r>
      <w:hyperlink r:id="rId10">
        <w:r>
          <w:rPr>
            <w:color w:val="000000"/>
            <w:u w:val="single"/>
            <w:sz w:val="19"/>
            <w:rFonts w:ascii="Arial" w:hAnsi="Arial"/>
          </w:rPr>
          <w:t>Output semantics</w:t>
        </w:r>
      </w:hyperlink>
      <w:r>
        <w:rPr>
          <w:sz w:val="19"/>
        </w:rPr>
        <w:t xml:space="preserve">  |  </w:t>
      </w:r>
      <w:hyperlink r:id="rId14">
        <w:r>
          <w:rPr>
            <w:color w:val="000000"/>
            <w:u w:val="single"/>
            <w:sz w:val="19"/>
            <w:rFonts w:ascii="Arial" w:hAnsi="Arial"/>
          </w:rPr>
          <w:t>Evaluator wording</w:t>
        </w:r>
      </w:hyperlink>
    </w:p>
    <w:p>
      <w:pPr>
        <w:pStyle w:val="Heading2"/>
      </w:pPr>
      <w:r>
        <w:t>11 What happens when property facts are missing or wrong</w:t>
      </w:r>
    </w:p>
    <w:p>
      <w:pPr>
        <w:keepNext/>
        <w:spacing w:after="120"/>
      </w:pPr>
      <w:r>
        <w:rPr>
          <w:b/>
        </w:rPr>
        <w:t xml:space="preserve">Say </w:t>
      </w:r>
      <w:r>
        <w:t>A missing fact stays unknown. The user can supply a permitted answer for the current request, but it is labeled unverified and does not overwrite the stored property record. The next evaluation uses that answer and still preserves other gaps. If the user does not know, the system can retain the uncertainty instead of guessing.</w:t>
      </w:r>
    </w:p>
    <w:p>
      <w:pPr>
        <w:keepNext/>
        <w:spacing w:after="120"/>
      </w:pPr>
      <w:r>
        <w:rPr>
          <w:b/>
        </w:rPr>
        <w:t xml:space="preserve">If asked further </w:t>
      </w:r>
      <w:r>
        <w:t>Inputs are checked against defined names, types and allowed values. A client cannot label its own answer verified or override legal geography. Construction year is not silently converted into an occupancy or certificate date. All accumulated answers must be sent with each stateless request.</w:t>
      </w:r>
    </w:p>
    <w:p>
      <w:pPr>
        <w:keepNext/>
        <w:spacing w:after="60"/>
      </w:pPr>
      <w:r>
        <w:rPr>
          <w:b/>
          <w:sz w:val="20"/>
        </w:rPr>
        <w:t xml:space="preserve">Evidence </w:t>
      </w:r>
      <w:r>
        <w:rPr>
          <w:sz w:val="20"/>
        </w:rPr>
        <w:t>Show the answer provenance and the unchanged original fact record, or use the facts endpoint.</w:t>
      </w:r>
    </w:p>
    <w:p>
      <w:pPr>
        <w:keepNext w:val="0"/>
        <w:spacing w:after="100"/>
      </w:pPr>
      <w:r>
        <w:rPr>
          <w:sz w:val="19"/>
        </w:rPr>
      </w:r>
      <w:hyperlink r:id="rId13">
        <w:r>
          <w:rPr>
            <w:color w:val="000000"/>
            <w:u w:val="single"/>
            <w:sz w:val="19"/>
            <w:rFonts w:ascii="Arial" w:hAnsi="Arial"/>
          </w:rPr>
          <w:t>Answer contract</w:t>
        </w:r>
      </w:hyperlink>
      <w:r>
        <w:rPr>
          <w:sz w:val="19"/>
        </w:rPr>
        <w:t xml:space="preserve">  |  </w:t>
      </w:r>
      <w:hyperlink r:id="rId23">
        <w:r>
          <w:rPr>
            <w:color w:val="000000"/>
            <w:u w:val="single"/>
            <w:sz w:val="19"/>
            <w:rFonts w:ascii="Arial" w:hAnsi="Arial"/>
          </w:rPr>
          <w:t>Fact definitions</w:t>
        </w:r>
      </w:hyperlink>
    </w:p>
    <w:p>
      <w:pPr>
        <w:pStyle w:val="Heading2"/>
      </w:pPr>
      <w:r>
        <w:t>12 How do actual law and an if enacted scenario differ</w:t>
      </w:r>
    </w:p>
    <w:p>
      <w:pPr>
        <w:keepNext/>
        <w:spacing w:after="120"/>
      </w:pPr>
      <w:r>
        <w:rPr>
          <w:b/>
        </w:rPr>
        <w:t xml:space="preserve">Say </w:t>
      </w:r>
      <w:r>
        <w:t>An actual query uses the recorded lifecycle on the selected date. A pending proposal stays pending. An if-enacted comparison is explicitly hypothetical and changes the selected pending rules only for that analysis. It does not rewrite the stored law or predict that the proposal will pass. Definite and uncertain property effects remain separate.</w:t>
      </w:r>
    </w:p>
    <w:p>
      <w:pPr>
        <w:keepNext/>
        <w:spacing w:after="120"/>
      </w:pPr>
      <w:r>
        <w:rPr>
          <w:b/>
        </w:rPr>
        <w:t xml:space="preserve">If asked further </w:t>
      </w:r>
      <w:r>
        <w:t>A useful scenario question is what the encoded proposal could change if enacted, not what will happen politically. In grouped change summaries, a property can belong to more than one group or set, so the displayed group counts must not be added as if they were disjoint.</w:t>
      </w:r>
    </w:p>
    <w:p>
      <w:pPr>
        <w:keepNext/>
        <w:spacing w:after="60"/>
      </w:pPr>
      <w:r>
        <w:rPr>
          <w:b/>
          <w:sz w:val="20"/>
        </w:rPr>
        <w:t xml:space="preserve">Evidence </w:t>
      </w:r>
      <w:r>
        <w:rPr>
          <w:sz w:val="20"/>
        </w:rPr>
        <w:t>Point to the scenario label, before and after dates, and separate definite and uncertain sets.</w:t>
      </w:r>
    </w:p>
    <w:p>
      <w:pPr>
        <w:keepNext w:val="0"/>
        <w:spacing w:after="100"/>
      </w:pPr>
      <w:r>
        <w:rPr>
          <w:sz w:val="19"/>
        </w:rPr>
      </w:r>
      <w:hyperlink r:id="rId24">
        <w:r>
          <w:rPr>
            <w:color w:val="000000"/>
            <w:u w:val="single"/>
            <w:sz w:val="19"/>
            <w:rFonts w:ascii="Arial" w:hAnsi="Arial"/>
          </w:rPr>
          <w:t>Change engine</w:t>
        </w:r>
      </w:hyperlink>
      <w:r>
        <w:rPr>
          <w:sz w:val="19"/>
        </w:rPr>
        <w:t xml:space="preserve">  |  </w:t>
      </w:r>
      <w:hyperlink r:id="rId10">
        <w:r>
          <w:rPr>
            <w:color w:val="000000"/>
            <w:u w:val="single"/>
            <w:sz w:val="19"/>
            <w:rFonts w:ascii="Arial" w:hAnsi="Arial"/>
          </w:rPr>
          <w:t>Change contract</w:t>
        </w:r>
      </w:hyperlink>
    </w:p>
    <w:p>
      <w:r>
        <w:br w:type="page"/>
      </w:r>
    </w:p>
    <w:p>
      <w:pPr>
        <w:pStyle w:val="Heading1"/>
      </w:pPr>
      <w:r>
        <w:t>Lifecycle business assumptions and next steps</w:t>
      </w:r>
    </w:p>
    <w:p>
      <w:pPr>
        <w:keepNext/>
        <w:spacing w:after="60"/>
      </w:pPr>
      <w:r>
        <w:rPr>
          <w:sz w:val="19"/>
        </w:rPr>
        <w:t>Rehearse next</w:t>
      </w:r>
    </w:p>
    <w:p>
      <w:pPr>
        <w:pStyle w:val="Heading2"/>
      </w:pPr>
      <w:r>
        <w:t>13 How do you handle amended pending or failed proposals</w:t>
      </w:r>
    </w:p>
    <w:p>
      <w:pPr>
        <w:keepNext/>
        <w:spacing w:after="120"/>
      </w:pPr>
      <w:r>
        <w:rPr>
          <w:b/>
        </w:rPr>
        <w:t xml:space="preserve">Say </w:t>
      </w:r>
      <w:r>
        <w:t>We keep the source version and lifecycle evidence explicit. An amended text needs its own captured version, and status events support the historical query. We do not turn a pending measure into law just because time passes. A recorded failure can establish that a proposal creates no operative obligation, while unrelated interpretation issues may still require review.</w:t>
      </w:r>
    </w:p>
    <w:p>
      <w:pPr>
        <w:keepNext/>
        <w:spacing w:after="120"/>
      </w:pPr>
      <w:r>
        <w:rPr>
          <w:b/>
        </w:rPr>
        <w:t xml:space="preserve">If asked further </w:t>
      </w:r>
      <w:r>
        <w:t>Do not collapse adoption, publication, effectiveness and retrieval into one date. A confidently failed lifecycle does not automatically make every clause ready for rule production. The case gate can remain partial when its broader mapping or evidence requirements are unresolved.</w:t>
      </w:r>
    </w:p>
    <w:p>
      <w:pPr>
        <w:keepNext/>
        <w:spacing w:after="60"/>
      </w:pPr>
      <w:r>
        <w:rPr>
          <w:b/>
          <w:sz w:val="20"/>
        </w:rPr>
        <w:t xml:space="preserve">Evidence </w:t>
      </w:r>
      <w:r>
        <w:rPr>
          <w:sz w:val="20"/>
        </w:rPr>
        <w:t>Open version history and the cited status record beside the substantive text.</w:t>
      </w:r>
    </w:p>
    <w:p>
      <w:pPr>
        <w:keepNext w:val="0"/>
        <w:spacing w:after="100"/>
      </w:pPr>
      <w:r>
        <w:rPr>
          <w:sz w:val="19"/>
        </w:rPr>
      </w:r>
      <w:hyperlink r:id="rId14">
        <w:r>
          <w:rPr>
            <w:color w:val="000000"/>
            <w:u w:val="single"/>
            <w:sz w:val="19"/>
            <w:rFonts w:ascii="Arial" w:hAnsi="Arial"/>
          </w:rPr>
          <w:t>Temporal evaluation</w:t>
        </w:r>
      </w:hyperlink>
      <w:r>
        <w:rPr>
          <w:sz w:val="19"/>
        </w:rPr>
        <w:t xml:space="preserve">  |  </w:t>
      </w:r>
      <w:hyperlink r:id="rId20">
        <w:r>
          <w:rPr>
            <w:color w:val="000000"/>
            <w:u w:val="single"/>
            <w:sz w:val="19"/>
            <w:rFonts w:ascii="Arial" w:hAnsi="Arial"/>
          </w:rPr>
          <w:t>Readiness diagnosis</w:t>
        </w:r>
      </w:hyperlink>
      <w:r>
        <w:rPr>
          <w:sz w:val="19"/>
        </w:rPr>
        <w:t xml:space="preserve">  |  </w:t>
      </w:r>
      <w:hyperlink r:id="rId19">
        <w:r>
          <w:rPr>
            <w:color w:val="000000"/>
            <w:u w:val="single"/>
            <w:sz w:val="19"/>
            <w:rFonts w:ascii="Arial" w:hAnsi="Arial"/>
          </w:rPr>
          <w:t>Source roles</w:t>
        </w:r>
      </w:hyperlink>
    </w:p>
    <w:p>
      <w:pPr>
        <w:pStyle w:val="Heading2"/>
      </w:pPr>
      <w:r>
        <w:t>14 What is the business model and what evidence supports it</w:t>
      </w:r>
    </w:p>
    <w:p>
      <w:pPr>
        <w:keepNext/>
        <w:spacing w:after="120"/>
      </w:pPr>
      <w:r>
        <w:rPr>
          <w:b/>
        </w:rPr>
        <w:t xml:space="preserve">Say </w:t>
      </w:r>
      <w:r>
        <w:t>A possible model is a paid research workflow for teams that repeatedly check rental rules across properties. We would first validate the user, frequency of the task, review requirements and willingness to pay. We are not claiming revenue, customers or a proven price. The hackathon demonstrates the workflow and gives us something concrete to test with users.</w:t>
      </w:r>
    </w:p>
    <w:p>
      <w:pPr>
        <w:keepNext/>
        <w:spacing w:after="120"/>
      </w:pPr>
      <w:r>
        <w:rPr>
          <w:b/>
        </w:rPr>
        <w:t xml:space="preserve">If asked further </w:t>
      </w:r>
      <w:r>
        <w:t>If asked about market size or competitors, say we have not completed that research. A useful pilot would measure task completion, time spent finding evidence and whether users understand uncertainty, with qualified review for legal conclusions. Those are proposed measurements, not results we already achieved.</w:t>
      </w:r>
    </w:p>
    <w:p>
      <w:pPr>
        <w:keepNext/>
        <w:spacing w:after="60"/>
      </w:pPr>
      <w:r>
        <w:rPr>
          <w:b/>
          <w:sz w:val="20"/>
        </w:rPr>
        <w:t xml:space="preserve">Evidence </w:t>
      </w:r>
      <w:r>
        <w:rPr>
          <w:sz w:val="20"/>
        </w:rPr>
        <w:t>Use the working demo as the basis for the hypothesis. Do not substitute a software test count for customer validation.</w:t>
      </w:r>
    </w:p>
    <w:p>
      <w:pPr>
        <w:keepNext w:val="0"/>
        <w:spacing w:after="100"/>
      </w:pPr>
      <w:r>
        <w:rPr>
          <w:sz w:val="19"/>
        </w:rPr>
      </w:r>
      <w:hyperlink r:id="rId12">
        <w:r>
          <w:rPr>
            <w:color w:val="000000"/>
            <w:u w:val="single"/>
            <w:sz w:val="19"/>
            <w:rFonts w:ascii="Arial" w:hAnsi="Arial"/>
          </w:rPr>
          <w:t>Demonstrable product scope</w:t>
        </w:r>
      </w:hyperlink>
    </w:p>
    <w:p>
      <w:pPr>
        <w:pStyle w:val="Heading2"/>
      </w:pPr>
      <w:r>
        <w:t>15 What would you improve next</w:t>
      </w:r>
    </w:p>
    <w:p>
      <w:pPr>
        <w:keepNext/>
        <w:spacing w:after="120"/>
      </w:pPr>
      <w:r>
        <w:rPr>
          <w:b/>
        </w:rPr>
        <w:t xml:space="preserve">Say </w:t>
      </w:r>
      <w:r>
        <w:t>The next priority is finishing source and interpretation review for a bounded set of cases and validating the complete property outcomes. We would then make the demo and release process dependable, and test the workflow with intended users. Adding more jurisdictions only helps once we can show where a result came from and what remains unresolved.</w:t>
      </w:r>
    </w:p>
    <w:p>
      <w:pPr>
        <w:keepNext/>
        <w:spacing w:after="120"/>
      </w:pPr>
      <w:r>
        <w:rPr>
          <w:b/>
        </w:rPr>
        <w:t xml:space="preserve">If asked further </w:t>
      </w:r>
      <w:r>
        <w:t>Keep the roadmap proportional to the prototype. Source permissions and admission, evidence-backed versions, a reviewed evaluation set and deployment controls come before a broad claim of coverage. New data should be frozen, checked and explicitly promoted rather than mixed into a running demo unnoticed.</w:t>
      </w:r>
    </w:p>
    <w:p>
      <w:pPr>
        <w:keepNext/>
        <w:spacing w:after="60"/>
      </w:pPr>
      <w:r>
        <w:rPr>
          <w:b/>
          <w:sz w:val="20"/>
        </w:rPr>
        <w:t xml:space="preserve">Evidence </w:t>
      </w:r>
      <w:r>
        <w:rPr>
          <w:sz w:val="20"/>
        </w:rPr>
        <w:t>Point to the readiness blockers and the extraction runbook as concrete next work.</w:t>
      </w:r>
    </w:p>
    <w:p>
      <w:pPr>
        <w:keepNext w:val="0"/>
        <w:spacing w:after="100"/>
      </w:pPr>
      <w:r>
        <w:rPr>
          <w:sz w:val="19"/>
        </w:rPr>
      </w:r>
      <w:hyperlink r:id="rId20">
        <w:r>
          <w:rPr>
            <w:color w:val="000000"/>
            <w:u w:val="single"/>
            <w:sz w:val="19"/>
            <w:rFonts w:ascii="Arial" w:hAnsi="Arial"/>
          </w:rPr>
          <w:t>Readiness work</w:t>
        </w:r>
      </w:hyperlink>
      <w:r>
        <w:rPr>
          <w:sz w:val="19"/>
        </w:rPr>
        <w:t xml:space="preserve">  |  </w:t>
      </w:r>
      <w:hyperlink r:id="rId25">
        <w:r>
          <w:rPr>
            <w:color w:val="000000"/>
            <w:u w:val="single"/>
            <w:sz w:val="19"/>
            <w:rFonts w:ascii="Arial" w:hAnsi="Arial"/>
          </w:rPr>
          <w:t>Extraction runbook</w:t>
        </w:r>
      </w:hyperlink>
    </w:p>
    <w:p>
      <w:r>
        <w:br w:type="page"/>
      </w:r>
    </w:p>
    <w:p>
      <w:pPr>
        <w:pStyle w:val="Heading1"/>
      </w:pPr>
      <w:r>
        <w:t>Architecture and the role of AI</w:t>
      </w:r>
    </w:p>
    <w:p>
      <w:pPr>
        <w:keepNext/>
        <w:spacing w:after="60"/>
      </w:pPr>
      <w:r>
        <w:rPr>
          <w:sz w:val="19"/>
        </w:rPr>
        <w:t>Technical follow ups</w:t>
      </w:r>
    </w:p>
    <w:p>
      <w:pPr>
        <w:pStyle w:val="Heading2"/>
      </w:pPr>
      <w:r>
        <w:t>16 What is the architecture</w:t>
      </w:r>
    </w:p>
    <w:p>
      <w:pPr>
        <w:keepNext/>
        <w:spacing w:after="120"/>
      </w:pPr>
      <w:r>
        <w:rPr>
          <w:b/>
        </w:rPr>
        <w:t xml:space="preserve">Say </w:t>
      </w:r>
      <w:r>
        <w:t>The web interface uses React and TypeScript. A Python FastAPI service exposes typed requests and results. Behind it, stored sources and extracted rules feed evidence preparation, jurisdiction and date checks, the deterministic evaluator and the question planner. Pydantic models and generated contracts keep the backend and frontend aligned around the same data shapes.</w:t>
      </w:r>
    </w:p>
    <w:p>
      <w:pPr>
        <w:keepNext/>
        <w:spacing w:after="120"/>
      </w:pPr>
      <w:r>
        <w:rPr>
          <w:b/>
        </w:rPr>
        <w:t xml:space="preserve">If asked further </w:t>
      </w:r>
      <w:r>
        <w:t>Persistence is a local, replayable JSON Store rather than a production multi-tenant database. Legal conditions use a constrained expression model, not executable code from the source or model. The public API serves analysis; it does not expose a billable ingestion job.</w:t>
      </w:r>
    </w:p>
    <w:p>
      <w:pPr>
        <w:keepNext/>
        <w:spacing w:after="60"/>
      </w:pPr>
      <w:r>
        <w:rPr>
          <w:b/>
          <w:sz w:val="20"/>
        </w:rPr>
        <w:t xml:space="preserve">Evidence </w:t>
      </w:r>
      <w:r>
        <w:rPr>
          <w:sz w:val="20"/>
        </w:rPr>
        <w:t>Walk through the API contract and one lookup response rather than reading a component inventory.</w:t>
      </w:r>
    </w:p>
    <w:p>
      <w:pPr>
        <w:keepNext w:val="0"/>
        <w:spacing w:after="100"/>
      </w:pPr>
      <w:r>
        <w:rPr>
          <w:sz w:val="19"/>
        </w:rPr>
      </w:r>
      <w:hyperlink r:id="rId26">
        <w:r>
          <w:rPr>
            <w:color w:val="000000"/>
            <w:u w:val="single"/>
            <w:sz w:val="19"/>
            <w:rFonts w:ascii="Arial" w:hAnsi="Arial"/>
          </w:rPr>
          <w:t>API implementation</w:t>
        </w:r>
      </w:hyperlink>
      <w:r>
        <w:rPr>
          <w:sz w:val="19"/>
        </w:rPr>
        <w:t xml:space="preserve">  |  </w:t>
      </w:r>
      <w:hyperlink r:id="rId27">
        <w:r>
          <w:rPr>
            <w:color w:val="000000"/>
            <w:u w:val="single"/>
            <w:sz w:val="19"/>
            <w:rFonts w:ascii="Arial" w:hAnsi="Arial"/>
          </w:rPr>
          <w:t>Models</w:t>
        </w:r>
      </w:hyperlink>
      <w:r>
        <w:rPr>
          <w:sz w:val="19"/>
        </w:rPr>
        <w:t xml:space="preserve">  |  </w:t>
      </w:r>
      <w:hyperlink r:id="rId16">
        <w:r>
          <w:rPr>
            <w:color w:val="000000"/>
            <w:u w:val="single"/>
            <w:sz w:val="19"/>
            <w:rFonts w:ascii="Arial" w:hAnsi="Arial"/>
          </w:rPr>
          <w:t>Frontend package</w:t>
        </w:r>
      </w:hyperlink>
    </w:p>
    <w:p>
      <w:pPr>
        <w:pStyle w:val="Heading2"/>
      </w:pPr>
      <w:r>
        <w:t>17 Where do you use AI and where is execution deterministic</w:t>
      </w:r>
    </w:p>
    <w:p>
      <w:pPr>
        <w:keepNext/>
        <w:spacing w:after="120"/>
      </w:pPr>
      <w:r>
        <w:rPr>
          <w:b/>
        </w:rPr>
        <w:t xml:space="preserve">Say </w:t>
      </w:r>
      <w:r>
        <w:t>Models are used in the offline extraction and explicit semantic-review workflow. The served lookup, question planning and scenario evaluation use recorded rules and deterministic code. An ordinary HTTP lookup does not call a model. That separation lets us preserve the extraction record and inspect or replay how the same inputs produced a result.</w:t>
      </w:r>
    </w:p>
    <w:p>
      <w:pPr>
        <w:keepNext/>
        <w:spacing w:after="120"/>
      </w:pPr>
      <w:r>
        <w:rPr>
          <w:b/>
        </w:rPr>
        <w:t xml:space="preserve">If asked further </w:t>
      </w:r>
      <w:r>
        <w:t>Model output still has to pass structure and evidence checks, and a valid schema is not proof of legal meaning. Avoid naming a particular model or provider as a permanent product dependency unless the specific run configuration establishes it. Runtime review gaps stay visible.</w:t>
      </w:r>
    </w:p>
    <w:p>
      <w:pPr>
        <w:keepNext/>
        <w:spacing w:after="60"/>
      </w:pPr>
      <w:r>
        <w:rPr>
          <w:b/>
          <w:sz w:val="20"/>
        </w:rPr>
        <w:t xml:space="preserve">Evidence </w:t>
      </w:r>
      <w:r>
        <w:rPr>
          <w:sz w:val="20"/>
        </w:rPr>
        <w:t>Point to the offline extraction workflow and then the planner and evaluator functions.</w:t>
      </w:r>
    </w:p>
    <w:p>
      <w:pPr>
        <w:keepNext w:val="0"/>
        <w:spacing w:after="100"/>
      </w:pPr>
      <w:r>
        <w:rPr>
          <w:sz w:val="19"/>
        </w:rPr>
      </w:r>
      <w:hyperlink r:id="rId12">
        <w:r>
          <w:rPr>
            <w:color w:val="000000"/>
            <w:u w:val="single"/>
            <w:sz w:val="19"/>
            <w:rFonts w:ascii="Arial" w:hAnsi="Arial"/>
          </w:rPr>
          <w:t>Extraction overview</w:t>
        </w:r>
      </w:hyperlink>
      <w:r>
        <w:rPr>
          <w:sz w:val="19"/>
        </w:rPr>
        <w:t xml:space="preserve">  |  </w:t>
      </w:r>
      <w:hyperlink r:id="rId13">
        <w:r>
          <w:rPr>
            <w:color w:val="000000"/>
            <w:u w:val="single"/>
            <w:sz w:val="19"/>
            <w:rFonts w:ascii="Arial" w:hAnsi="Arial"/>
          </w:rPr>
          <w:t>Deterministic assist contract</w:t>
        </w:r>
      </w:hyperlink>
      <w:r>
        <w:rPr>
          <w:sz w:val="19"/>
        </w:rPr>
        <w:t xml:space="preserve">  |  </w:t>
      </w:r>
      <w:hyperlink r:id="rId22">
        <w:r>
          <w:rPr>
            <w:color w:val="000000"/>
            <w:u w:val="single"/>
            <w:sz w:val="19"/>
            <w:rFonts w:ascii="Arial" w:hAnsi="Arial"/>
          </w:rPr>
          <w:t>Evidence preparation</w:t>
        </w:r>
      </w:hyperlink>
    </w:p>
    <w:p>
      <w:pPr>
        <w:pStyle w:val="Heading2"/>
      </w:pPr>
      <w:r>
        <w:t>18 How do you prevent model mistakes from becoming legal claims</w:t>
      </w:r>
    </w:p>
    <w:p>
      <w:pPr>
        <w:keepNext/>
        <w:spacing w:after="120"/>
      </w:pPr>
      <w:r>
        <w:rPr>
          <w:b/>
        </w:rPr>
        <w:t xml:space="preserve">Say </w:t>
      </w:r>
      <w:r>
        <w:t>We constrain the output schema, preserve source text, check exact evidence and retain review issues. The source policy distinguishes primary legal provisions from context and status records. Bounded repair can address specific output defects, but unresolved legal meaning must remain visible. These controls reduce unsupported promotion; they do not guarantee that extraction is legally correct.</w:t>
      </w:r>
    </w:p>
    <w:p>
      <w:pPr>
        <w:keepNext/>
        <w:spacing w:after="120"/>
      </w:pPr>
      <w:r>
        <w:rPr>
          <w:b/>
        </w:rPr>
        <w:t xml:space="preserve">If asked further </w:t>
      </w:r>
      <w:r>
        <w:t>A repair must not erase a substantive concern just to produce valid output. Related definitions and status documents need explicit roles and exact capture identity. Keep actual provider lineage, and never present a manually authored draft or a scenario description as an automated legal extraction.</w:t>
      </w:r>
    </w:p>
    <w:p>
      <w:pPr>
        <w:keepNext/>
        <w:spacing w:after="60"/>
      </w:pPr>
      <w:r>
        <w:rPr>
          <w:b/>
          <w:sz w:val="20"/>
        </w:rPr>
        <w:t xml:space="preserve">Evidence </w:t>
      </w:r>
      <w:r>
        <w:rPr>
          <w:sz w:val="20"/>
        </w:rPr>
        <w:t>Use one evidence report with separate source, quote, semantic and dependency checks.</w:t>
      </w:r>
    </w:p>
    <w:p>
      <w:pPr>
        <w:keepNext w:val="0"/>
        <w:spacing w:after="100"/>
      </w:pPr>
      <w:r>
        <w:rPr>
          <w:sz w:val="19"/>
        </w:rPr>
      </w:r>
      <w:hyperlink r:id="rId19">
        <w:r>
          <w:rPr>
            <w:color w:val="000000"/>
            <w:u w:val="single"/>
            <w:sz w:val="19"/>
            <w:rFonts w:ascii="Arial" w:hAnsi="Arial"/>
          </w:rPr>
          <w:t>Source policy</w:t>
        </w:r>
      </w:hyperlink>
      <w:r>
        <w:rPr>
          <w:sz w:val="19"/>
        </w:rPr>
        <w:t xml:space="preserve">  |  </w:t>
      </w:r>
      <w:hyperlink r:id="rId22">
        <w:r>
          <w:rPr>
            <w:color w:val="000000"/>
            <w:u w:val="single"/>
            <w:sz w:val="19"/>
            <w:rFonts w:ascii="Arial" w:hAnsi="Arial"/>
          </w:rPr>
          <w:t>Evidence checks</w:t>
        </w:r>
      </w:hyperlink>
      <w:r>
        <w:rPr>
          <w:sz w:val="19"/>
        </w:rPr>
        <w:t xml:space="preserve">  |  </w:t>
      </w:r>
      <w:hyperlink r:id="rId20">
        <w:r>
          <w:rPr>
            <w:color w:val="000000"/>
            <w:u w:val="single"/>
            <w:sz w:val="19"/>
            <w:rFonts w:ascii="Arial" w:hAnsi="Arial"/>
          </w:rPr>
          <w:t>Extraction repairs</w:t>
        </w:r>
      </w:hyperlink>
    </w:p>
    <w:p>
      <w:r>
        <w:br w:type="page"/>
      </w:r>
    </w:p>
    <w:p>
      <w:pPr>
        <w:pStyle w:val="Heading1"/>
      </w:pPr>
      <w:r>
        <w:t>Question planning data releases and performance</w:t>
      </w:r>
    </w:p>
    <w:p>
      <w:pPr>
        <w:keepNext/>
        <w:spacing w:after="60"/>
      </w:pPr>
      <w:r>
        <w:rPr>
          <w:sz w:val="19"/>
        </w:rPr>
        <w:t>Technical follow ups</w:t>
      </w:r>
    </w:p>
    <w:p>
      <w:pPr>
        <w:pStyle w:val="Heading2"/>
      </w:pPr>
      <w:r>
        <w:t>19 How does the system choose the next useful question</w:t>
      </w:r>
    </w:p>
    <w:p>
      <w:pPr>
        <w:keepNext/>
        <w:spacing w:after="120"/>
      </w:pPr>
      <w:r>
        <w:rPr>
          <w:b/>
        </w:rPr>
        <w:t xml:space="preserve">Say </w:t>
      </w:r>
      <w:r>
        <w:t>The planner starts from relevant unresolved conditions and probes possible answers through the same evaluator. It ranks useful questions using a documented heuristic and answer effort, with deterministic tie breaks. The displayed consequences come from those hypothetical evaluations. It also reports remaining issues that a user answer cannot resolve.</w:t>
      </w:r>
    </w:p>
    <w:p>
      <w:pPr>
        <w:keepNext/>
        <w:spacing w:after="120"/>
      </w:pPr>
      <w:r>
        <w:rPr>
          <w:b/>
        </w:rPr>
        <w:t xml:space="preserve">If asked further </w:t>
      </w:r>
      <w:r>
        <w:t>The search has explicit limits on fields, questions and evaluations, including bounded joint exploration. It is not a proof of the globally optimal interview. Related predicates for one field must use one consistent value, and probe values never become known property facts.</w:t>
      </w:r>
    </w:p>
    <w:p>
      <w:pPr>
        <w:keepNext/>
        <w:spacing w:after="60"/>
      </w:pPr>
      <w:r>
        <w:rPr>
          <w:b/>
          <w:sz w:val="20"/>
        </w:rPr>
        <w:t xml:space="preserve">Evidence </w:t>
      </w:r>
      <w:r>
        <w:rPr>
          <w:sz w:val="20"/>
        </w:rPr>
        <w:t>Open a question's consequences and the plan's limits, residual issues and exhaustive flag.</w:t>
      </w:r>
    </w:p>
    <w:p>
      <w:pPr>
        <w:keepNext w:val="0"/>
        <w:spacing w:after="100"/>
      </w:pPr>
      <w:r>
        <w:rPr>
          <w:sz w:val="19"/>
        </w:rPr>
      </w:r>
      <w:hyperlink r:id="rId17">
        <w:r>
          <w:rPr>
            <w:color w:val="000000"/>
            <w:u w:val="single"/>
            <w:sz w:val="19"/>
            <w:rFonts w:ascii="Arial" w:hAnsi="Arial"/>
          </w:rPr>
          <w:t>Planner</w:t>
        </w:r>
      </w:hyperlink>
      <w:r>
        <w:rPr>
          <w:sz w:val="19"/>
        </w:rPr>
        <w:t xml:space="preserve">  |  </w:t>
      </w:r>
      <w:hyperlink r:id="rId13">
        <w:r>
          <w:rPr>
            <w:color w:val="000000"/>
            <w:u w:val="single"/>
            <w:sz w:val="19"/>
            <w:rFonts w:ascii="Arial" w:hAnsi="Arial"/>
          </w:rPr>
          <w:t>Planner contract</w:t>
        </w:r>
      </w:hyperlink>
    </w:p>
    <w:p>
      <w:pPr>
        <w:pStyle w:val="Heading2"/>
      </w:pPr>
      <w:r>
        <w:t>20 How do new data and corrected rules reach the live product</w:t>
      </w:r>
    </w:p>
    <w:p>
      <w:pPr>
        <w:keepNext/>
        <w:spacing w:after="120"/>
      </w:pPr>
      <w:r>
        <w:rPr>
          <w:b/>
        </w:rPr>
        <w:t xml:space="preserve">Say </w:t>
      </w:r>
      <w:r>
        <w:t>A new capture or extraction should produce a traceable snapshot with its source versions, run records and checks. We validate that snapshot before explicitly choosing it for the served application. A code merge does not automatically prove the dataset is ready. Fresh local results and the currently deployed data must be described separately.</w:t>
      </w:r>
    </w:p>
    <w:p>
      <w:pPr>
        <w:keepNext/>
        <w:spacing w:after="120"/>
      </w:pPr>
      <w:r>
        <w:rPr>
          <w:b/>
        </w:rPr>
        <w:t xml:space="preserve">If asked further </w:t>
      </w:r>
      <w:r>
        <w:t>At this preparation checkpoint the live dataset is partial, and the new extraction is still being reviewed. Recheck the current health and data-readiness report before presenting. Do not claim that a repaired local rule or a green CI build has already changed the hosted answers.</w:t>
      </w:r>
    </w:p>
    <w:p>
      <w:pPr>
        <w:keepNext/>
        <w:spacing w:after="60"/>
      </w:pPr>
      <w:r>
        <w:rPr>
          <w:b/>
          <w:sz w:val="20"/>
        </w:rPr>
        <w:t xml:space="preserve">Evidence </w:t>
      </w:r>
      <w:r>
        <w:rPr>
          <w:sz w:val="20"/>
        </w:rPr>
        <w:t>Compare live health with the named local snapshot and its readiness report.</w:t>
      </w:r>
    </w:p>
    <w:p>
      <w:pPr>
        <w:keepNext w:val="0"/>
        <w:spacing w:after="100"/>
      </w:pPr>
      <w:r>
        <w:rPr>
          <w:sz w:val="19"/>
        </w:rPr>
      </w:r>
      <w:hyperlink r:id="rId26">
        <w:r>
          <w:rPr>
            <w:color w:val="000000"/>
            <w:u w:val="single"/>
            <w:sz w:val="19"/>
            <w:rFonts w:ascii="Arial" w:hAnsi="Arial"/>
          </w:rPr>
          <w:t>Health and API</w:t>
        </w:r>
      </w:hyperlink>
      <w:r>
        <w:rPr>
          <w:sz w:val="19"/>
        </w:rPr>
        <w:t xml:space="preserve">  |  </w:t>
      </w:r>
      <w:hyperlink r:id="rId20">
        <w:r>
          <w:rPr>
            <w:color w:val="000000"/>
            <w:u w:val="single"/>
            <w:sz w:val="19"/>
            <w:rFonts w:ascii="Arial" w:hAnsi="Arial"/>
          </w:rPr>
          <w:t>Release diagnosis</w:t>
        </w:r>
      </w:hyperlink>
      <w:r>
        <w:rPr>
          <w:sz w:val="19"/>
        </w:rPr>
        <w:t xml:space="preserve">  |  </w:t>
      </w:r>
      <w:hyperlink r:id="rId25">
        <w:r>
          <w:rPr>
            <w:color w:val="000000"/>
            <w:u w:val="single"/>
            <w:sz w:val="19"/>
            <w:rFonts w:ascii="Arial" w:hAnsi="Arial"/>
          </w:rPr>
          <w:t>Runbook</w:t>
        </w:r>
      </w:hyperlink>
    </w:p>
    <w:p>
      <w:pPr>
        <w:pStyle w:val="Heading2"/>
      </w:pPr>
      <w:r>
        <w:t>21 Will it scale and how do you control latency and cost</w:t>
      </w:r>
    </w:p>
    <w:p>
      <w:pPr>
        <w:keepNext/>
        <w:spacing w:after="120"/>
      </w:pPr>
      <w:r>
        <w:rPr>
          <w:b/>
        </w:rPr>
        <w:t xml:space="preserve">Say </w:t>
      </w:r>
      <w:r>
        <w:t>The prototype bounds expensive analysis and caches derived responses tied to the inputs and code. It can prepare a known demo lookup ahead of time, and model calls happen in explicit offline workflows rather than on each lookup. We have not demonstrated production-scale concurrency or a general cost-per-property benchmark.</w:t>
      </w:r>
    </w:p>
    <w:p>
      <w:pPr>
        <w:keepNext/>
        <w:spacing w:after="120"/>
      </w:pPr>
      <w:r>
        <w:rPr>
          <w:b/>
        </w:rPr>
        <w:t xml:space="preserve">If asked further </w:t>
      </w:r>
      <w:r>
        <w:t>The assist cache limits entries and bytes and restricts concurrent computation. A real deployment would need measured load tests, capacity planning, operational monitoring and a storage strategy. Cached demonstration timings describe that snapshot and request, not all possible queries or every cold start.</w:t>
      </w:r>
    </w:p>
    <w:p>
      <w:pPr>
        <w:keepNext/>
        <w:spacing w:after="60"/>
      </w:pPr>
      <w:r>
        <w:rPr>
          <w:b/>
          <w:sz w:val="20"/>
        </w:rPr>
        <w:t xml:space="preserve">Evidence </w:t>
      </w:r>
      <w:r>
        <w:rPr>
          <w:sz w:val="20"/>
        </w:rPr>
        <w:t>Use cache identity and the prepared demo flow. Do not quote an unmeasured latency or cost reduction.</w:t>
      </w:r>
    </w:p>
    <w:p>
      <w:pPr>
        <w:keepNext w:val="0"/>
        <w:spacing w:after="100"/>
      </w:pPr>
      <w:r>
        <w:rPr>
          <w:sz w:val="19"/>
        </w:rPr>
      </w:r>
      <w:hyperlink r:id="rId28">
        <w:r>
          <w:rPr>
            <w:color w:val="000000"/>
            <w:u w:val="single"/>
            <w:sz w:val="19"/>
            <w:rFonts w:ascii="Arial" w:hAnsi="Arial"/>
          </w:rPr>
          <w:t>Assist cache</w:t>
        </w:r>
      </w:hyperlink>
      <w:r>
        <w:rPr>
          <w:sz w:val="19"/>
        </w:rPr>
        <w:t xml:space="preserve">  |  </w:t>
      </w:r>
      <w:hyperlink r:id="rId11">
        <w:r>
          <w:rPr>
            <w:color w:val="000000"/>
            <w:u w:val="single"/>
            <w:sz w:val="19"/>
            <w:rFonts w:ascii="Arial" w:hAnsi="Arial"/>
          </w:rPr>
          <w:t>Demo preparation</w:t>
        </w:r>
      </w:hyperlink>
    </w:p>
    <w:p>
      <w:r>
        <w:br w:type="page"/>
      </w:r>
    </w:p>
    <w:p>
      <w:pPr>
        <w:pStyle w:val="Heading1"/>
      </w:pPr>
      <w:r>
        <w:t>Security truth values and date boundaries</w:t>
      </w:r>
    </w:p>
    <w:p>
      <w:pPr>
        <w:keepNext/>
        <w:spacing w:after="60"/>
      </w:pPr>
      <w:r>
        <w:rPr>
          <w:sz w:val="19"/>
        </w:rPr>
        <w:t>Niche technical questions</w:t>
      </w:r>
    </w:p>
    <w:p>
      <w:pPr>
        <w:pStyle w:val="Heading2"/>
      </w:pPr>
      <w:r>
        <w:t>22 What about authentication privacy and production security</w:t>
      </w:r>
    </w:p>
    <w:p>
      <w:pPr>
        <w:keepNext/>
        <w:spacing w:after="120"/>
      </w:pPr>
      <w:r>
        <w:rPr>
          <w:b/>
        </w:rPr>
        <w:t xml:space="preserve">Say </w:t>
      </w:r>
      <w:r>
        <w:t>This is a public-data research prototype, not an authenticated multi-tenant product. The API does not expose paid extraction, and request answers do not overwrite the original property store. That is not a complete security program. Production use would require authentication, authorization, rate limiting, logging and a deliberate privacy and retention design.</w:t>
      </w:r>
    </w:p>
    <w:p>
      <w:pPr>
        <w:keepNext/>
        <w:spacing w:after="120"/>
      </w:pPr>
      <w:r>
        <w:rPr>
          <w:b/>
        </w:rPr>
        <w:t xml:space="preserve">If asked further </w:t>
      </w:r>
      <w:r>
        <w:t>Do not put tenant, customer or private pricing data into the demo. Request-local means the facts do not become original records; it does not mean every infrastructure log or derived cache is guaranteed empty. CORS configuration is a browser access rule, not user authentication.</w:t>
      </w:r>
    </w:p>
    <w:p>
      <w:pPr>
        <w:keepNext/>
        <w:spacing w:after="60"/>
      </w:pPr>
      <w:r>
        <w:rPr>
          <w:b/>
          <w:sz w:val="20"/>
        </w:rPr>
        <w:t xml:space="preserve">Evidence </w:t>
      </w:r>
      <w:r>
        <w:rPr>
          <w:sz w:val="20"/>
        </w:rPr>
        <w:t>Point to the API routes, input validation, source-data restrictions and cache design.</w:t>
      </w:r>
    </w:p>
    <w:p>
      <w:pPr>
        <w:keepNext w:val="0"/>
        <w:spacing w:after="100"/>
      </w:pPr>
      <w:r>
        <w:rPr>
          <w:sz w:val="19"/>
        </w:rPr>
      </w:r>
      <w:hyperlink r:id="rId26">
        <w:r>
          <w:rPr>
            <w:color w:val="000000"/>
            <w:u w:val="single"/>
            <w:sz w:val="19"/>
            <w:rFonts w:ascii="Arial" w:hAnsi="Arial"/>
          </w:rPr>
          <w:t>API boundary</w:t>
        </w:r>
      </w:hyperlink>
      <w:r>
        <w:rPr>
          <w:sz w:val="19"/>
        </w:rPr>
        <w:t xml:space="preserve">  |  </w:t>
      </w:r>
      <w:hyperlink r:id="rId29">
        <w:r>
          <w:rPr>
            <w:color w:val="000000"/>
            <w:u w:val="single"/>
            <w:sz w:val="19"/>
            <w:rFonts w:ascii="Arial" w:hAnsi="Arial"/>
          </w:rPr>
          <w:t>Public data rules</w:t>
        </w:r>
      </w:hyperlink>
      <w:r>
        <w:rPr>
          <w:sz w:val="19"/>
        </w:rPr>
        <w:t xml:space="preserve">  |  </w:t>
      </w:r>
      <w:hyperlink r:id="rId28">
        <w:r>
          <w:rPr>
            <w:color w:val="000000"/>
            <w:u w:val="single"/>
            <w:sz w:val="19"/>
            <w:rFonts w:ascii="Arial" w:hAnsi="Arial"/>
          </w:rPr>
          <w:t>Derived cache</w:t>
        </w:r>
      </w:hyperlink>
    </w:p>
    <w:p>
      <w:pPr>
        <w:pStyle w:val="Heading2"/>
      </w:pPr>
      <w:r>
        <w:t>23 Why use three valued logic instead of true and false</w:t>
      </w:r>
    </w:p>
    <w:p>
      <w:pPr>
        <w:keepNext/>
        <w:spacing w:after="120"/>
      </w:pPr>
      <w:r>
        <w:rPr>
          <w:b/>
        </w:rPr>
        <w:t xml:space="preserve">Say </w:t>
      </w:r>
      <w:r>
        <w:t>Missing information is different from false. The evaluator uses true, false and unknown so an absent fact does not become evidence of non-coverage. It can also stop carrying an irrelevant unknown after another branch settles the expression. That makes the result more precise about both what is known and what could still change it.</w:t>
      </w:r>
    </w:p>
    <w:p>
      <w:pPr>
        <w:keepNext/>
        <w:spacing w:after="120"/>
      </w:pPr>
      <w:r>
        <w:rPr>
          <w:b/>
        </w:rPr>
        <w:t xml:space="preserve">If asked further </w:t>
      </w:r>
      <w:r>
        <w:t>For an AND expression, a known false branch can settle the result even if another branch is unknown. For an OR expression, a known true branch can settle it. Exemptions need their own logic, and a remaining source or interpretation issue can still prevent a confident overall result.</w:t>
      </w:r>
    </w:p>
    <w:p>
      <w:pPr>
        <w:keepNext/>
        <w:spacing w:after="60"/>
      </w:pPr>
      <w:r>
        <w:rPr>
          <w:b/>
          <w:sz w:val="20"/>
        </w:rPr>
        <w:t xml:space="preserve">Evidence </w:t>
      </w:r>
      <w:r>
        <w:rPr>
          <w:sz w:val="20"/>
        </w:rPr>
        <w:t>Point to a predicate trace and the remaining relevant missing facts.</w:t>
      </w:r>
    </w:p>
    <w:p>
      <w:pPr>
        <w:keepNext w:val="0"/>
        <w:spacing w:after="100"/>
      </w:pPr>
      <w:r>
        <w:rPr>
          <w:sz w:val="19"/>
        </w:rPr>
      </w:r>
      <w:hyperlink r:id="rId14">
        <w:r>
          <w:rPr>
            <w:color w:val="000000"/>
            <w:u w:val="single"/>
            <w:sz w:val="19"/>
            <w:rFonts w:ascii="Arial" w:hAnsi="Arial"/>
          </w:rPr>
          <w:t>Evaluator</w:t>
        </w:r>
      </w:hyperlink>
      <w:r>
        <w:rPr>
          <w:sz w:val="19"/>
        </w:rPr>
        <w:t xml:space="preserve">  |  </w:t>
      </w:r>
      <w:hyperlink r:id="rId30">
        <w:r>
          <w:rPr>
            <w:color w:val="000000"/>
            <w:u w:val="single"/>
            <w:sz w:val="19"/>
            <w:rFonts w:ascii="Arial" w:hAnsi="Arial"/>
          </w:rPr>
          <w:t>Predicate logic</w:t>
        </w:r>
      </w:hyperlink>
      <w:r>
        <w:rPr>
          <w:sz w:val="19"/>
        </w:rPr>
        <w:t xml:space="preserve">  |  </w:t>
      </w:r>
      <w:hyperlink r:id="rId10">
        <w:r>
          <w:rPr>
            <w:color w:val="000000"/>
            <w:u w:val="single"/>
            <w:sz w:val="19"/>
            <w:rFonts w:ascii="Arial" w:hAnsi="Arial"/>
          </w:rPr>
          <w:t>Expression contract</w:t>
        </w:r>
      </w:hyperlink>
    </w:p>
    <w:p>
      <w:pPr>
        <w:pStyle w:val="Heading2"/>
      </w:pPr>
      <w:r>
        <w:t>24 How do partial dates and historical queries work</w:t>
      </w:r>
    </w:p>
    <w:p>
      <w:pPr>
        <w:keepNext/>
        <w:spacing w:after="120"/>
      </w:pPr>
      <w:r>
        <w:rPr>
          <w:b/>
        </w:rPr>
        <w:t xml:space="preserve">Say </w:t>
      </w:r>
      <w:r>
        <w:t>The system preserves whether the source states a year, month or exact day. It evaluates a partial date as an interval and can return unknown near an uncertain boundary. The effective day is inclusive and the end date is exclusive. Historical lifecycle events matter; a document's retrieval date is not automatically the law's effective date.</w:t>
      </w:r>
    </w:p>
    <w:p>
      <w:pPr>
        <w:keepNext/>
        <w:spacing w:after="120"/>
      </w:pPr>
      <w:r>
        <w:rPr>
          <w:b/>
        </w:rPr>
        <w:t xml:space="preserve">If asked further </w:t>
      </w:r>
      <w:r>
        <w:t>If all we know is that an event occurred during a month, a query inside that month may be unresolved. An undated status snapshot cannot establish arbitrary past history. If the API date is omitted, the contract uses a fixed default, so the demo should always show its explicit selected date.</w:t>
      </w:r>
    </w:p>
    <w:p>
      <w:pPr>
        <w:keepNext/>
        <w:spacing w:after="60"/>
      </w:pPr>
      <w:r>
        <w:rPr>
          <w:b/>
          <w:sz w:val="20"/>
        </w:rPr>
        <w:t xml:space="preserve">Evidence </w:t>
      </w:r>
      <w:r>
        <w:rPr>
          <w:sz w:val="20"/>
        </w:rPr>
        <w:t>Open the original date text beside the encoded precision and temporal explanation.</w:t>
      </w:r>
    </w:p>
    <w:p>
      <w:pPr>
        <w:keepNext w:val="0"/>
        <w:spacing w:after="100"/>
      </w:pPr>
      <w:r>
        <w:rPr>
          <w:sz w:val="19"/>
        </w:rPr>
      </w:r>
      <w:hyperlink r:id="rId14">
        <w:r>
          <w:rPr>
            <w:color w:val="000000"/>
            <w:u w:val="single"/>
            <w:sz w:val="19"/>
            <w:rFonts w:ascii="Arial" w:hAnsi="Arial"/>
          </w:rPr>
          <w:t>Temporal evaluator</w:t>
        </w:r>
      </w:hyperlink>
      <w:r>
        <w:rPr>
          <w:sz w:val="19"/>
        </w:rPr>
        <w:t xml:space="preserve">  |  </w:t>
      </w:r>
      <w:hyperlink r:id="rId10">
        <w:r>
          <w:rPr>
            <w:color w:val="000000"/>
            <w:u w:val="single"/>
            <w:sz w:val="19"/>
            <w:rFonts w:ascii="Arial" w:hAnsi="Arial"/>
          </w:rPr>
          <w:t>Date contract</w:t>
        </w:r>
      </w:hyperlink>
    </w:p>
    <w:p>
      <w:r>
        <w:br w:type="page"/>
      </w:r>
    </w:p>
    <w:p>
      <w:pPr>
        <w:pStyle w:val="Heading1"/>
      </w:pPr>
      <w:r>
        <w:t>Evidence identity geography and reproducibility</w:t>
      </w:r>
    </w:p>
    <w:p>
      <w:pPr>
        <w:keepNext/>
        <w:spacing w:after="60"/>
      </w:pPr>
      <w:r>
        <w:rPr>
          <w:sz w:val="19"/>
        </w:rPr>
        <w:t>Niche technical questions</w:t>
      </w:r>
    </w:p>
    <w:p>
      <w:pPr>
        <w:pStyle w:val="Heading2"/>
        <w:spacing w:line="240" w:lineRule="auto" w:after="80" w:before="160"/>
      </w:pPr>
      <w:r>
        <w:t>25 How do you know which municipality governs a property</w:t>
      </w:r>
    </w:p>
    <w:p>
      <w:pPr>
        <w:keepNext/>
        <w:spacing w:after="80" w:line="240" w:lineRule="auto"/>
      </w:pPr>
      <w:r>
        <w:rPr>
          <w:b/>
        </w:rPr>
        <w:t xml:space="preserve">Say </w:t>
      </w:r>
      <w:r>
        <w:t>Legal geography is evaluated separately from the postal address label. A known state can support state-level evaluation, while municipal coverage remains unknown if the legal municipality is unresolved. The system does not let a user answer quietly override that geography. Custom addresses also do not trigger an automatic external geocoding job.</w:t>
      </w:r>
    </w:p>
    <w:p>
      <w:pPr>
        <w:keepNext/>
        <w:spacing w:after="80" w:line="240" w:lineRule="auto"/>
      </w:pPr>
      <w:r>
        <w:rPr>
          <w:b/>
        </w:rPr>
        <w:t xml:space="preserve">If asked further </w:t>
      </w:r>
      <w:r>
        <w:t>Postal city is not proof of legal municipal membership. Missing resolution should preserve a known state and expose the local gap. Boundary evidence and match quality matter.</w:t>
      </w:r>
    </w:p>
    <w:p>
      <w:pPr>
        <w:keepNext/>
        <w:spacing w:after="80" w:line="240" w:lineRule="auto"/>
      </w:pPr>
      <w:r>
        <w:rPr>
          <w:b/>
          <w:sz w:val="20"/>
        </w:rPr>
        <w:t xml:space="preserve">Evidence </w:t>
      </w:r>
      <w:r>
        <w:rPr>
          <w:sz w:val="20"/>
        </w:rPr>
        <w:t>Open the jurisdiction resolution and its match quality.</w:t>
      </w:r>
    </w:p>
    <w:p>
      <w:pPr>
        <w:keepNext w:val="0"/>
        <w:spacing w:after="80" w:line="240" w:lineRule="auto"/>
      </w:pPr>
      <w:r>
        <w:rPr>
          <w:sz w:val="19"/>
        </w:rPr>
      </w:r>
      <w:hyperlink r:id="rId14">
        <w:r>
          <w:rPr>
            <w:color w:val="000000"/>
            <w:u w:val="single"/>
            <w:sz w:val="19"/>
            <w:rFonts w:ascii="Arial" w:hAnsi="Arial"/>
          </w:rPr>
          <w:t>Jurisdiction evaluation</w:t>
        </w:r>
      </w:hyperlink>
      <w:r>
        <w:rPr>
          <w:sz w:val="19"/>
        </w:rPr>
        <w:t xml:space="preserve">  |  </w:t>
      </w:r>
      <w:hyperlink r:id="rId10">
        <w:r>
          <w:rPr>
            <w:color w:val="000000"/>
            <w:u w:val="single"/>
            <w:sz w:val="19"/>
            <w:rFonts w:ascii="Arial" w:hAnsi="Arial"/>
          </w:rPr>
          <w:t>Geography contract</w:t>
        </w:r>
      </w:hyperlink>
    </w:p>
    <w:p>
      <w:pPr>
        <w:pStyle w:val="Heading2"/>
        <w:spacing w:line="240" w:lineRule="auto" w:after="80" w:before="160"/>
      </w:pPr>
      <w:r>
        <w:t>26 What do the hashes and quote offsets actually prove</w:t>
      </w:r>
    </w:p>
    <w:p>
      <w:pPr>
        <w:keepNext/>
        <w:spacing w:after="80" w:line="240" w:lineRule="auto"/>
      </w:pPr>
      <w:r>
        <w:rPr>
          <w:b/>
        </w:rPr>
        <w:t xml:space="preserve">Say </w:t>
      </w:r>
      <w:r>
        <w:t>A hash lets us detect a change in captured content, while quote offsets locate the cited span in that exact text. Offsets are zero-based Unicode character positions with an exclusive end, not byte offsets. These checks make evidence inspectable and help detect stale support. They do not prove publisher authenticity or a correct legal interpretation.</w:t>
      </w:r>
    </w:p>
    <w:p>
      <w:pPr>
        <w:keepNext/>
        <w:spacing w:after="80" w:line="240" w:lineRule="auto"/>
      </w:pPr>
      <w:r>
        <w:rPr>
          <w:b/>
        </w:rPr>
        <w:t xml:space="preserve">If asked further </w:t>
      </w:r>
      <w:r>
        <w:t>Captured and declared manifest hashes are distinct. Reformatting can break an anchor without changing legal meaning. Quote matching remains separate from semantic support and dependency checks.</w:t>
      </w:r>
    </w:p>
    <w:p>
      <w:pPr>
        <w:keepNext/>
        <w:spacing w:after="80" w:line="240" w:lineRule="auto"/>
      </w:pPr>
      <w:r>
        <w:rPr>
          <w:b/>
          <w:sz w:val="20"/>
        </w:rPr>
        <w:t xml:space="preserve">Evidence </w:t>
      </w:r>
      <w:r>
        <w:rPr>
          <w:sz w:val="20"/>
        </w:rPr>
        <w:t>Compare the quote, offsets, original text and evidence checks.</w:t>
      </w:r>
    </w:p>
    <w:p>
      <w:pPr>
        <w:keepNext w:val="0"/>
        <w:spacing w:after="80" w:line="240" w:lineRule="auto"/>
      </w:pPr>
      <w:r>
        <w:rPr>
          <w:sz w:val="19"/>
        </w:rPr>
      </w:r>
      <w:hyperlink r:id="rId22">
        <w:r>
          <w:rPr>
            <w:color w:val="000000"/>
            <w:u w:val="single"/>
            <w:sz w:val="19"/>
            <w:rFonts w:ascii="Arial" w:hAnsi="Arial"/>
          </w:rPr>
          <w:t>Evidence implementation</w:t>
        </w:r>
      </w:hyperlink>
      <w:r>
        <w:rPr>
          <w:sz w:val="19"/>
        </w:rPr>
        <w:t xml:space="preserve">  |  </w:t>
      </w:r>
      <w:hyperlink r:id="rId10">
        <w:r>
          <w:rPr>
            <w:color w:val="000000"/>
            <w:u w:val="single"/>
            <w:sz w:val="19"/>
            <w:rFonts w:ascii="Arial" w:hAnsi="Arial"/>
          </w:rPr>
          <w:t>Offset contract</w:t>
        </w:r>
      </w:hyperlink>
    </w:p>
    <w:p>
      <w:pPr>
        <w:pStyle w:val="Heading2"/>
        <w:spacing w:line="240" w:lineRule="auto" w:after="80" w:before="160"/>
      </w:pPr>
      <w:r>
        <w:t>27 How do references and state local conflicts avoid false matches</w:t>
      </w:r>
    </w:p>
    <w:p>
      <w:pPr>
        <w:keepNext/>
        <w:spacing w:after="80" w:line="240" w:lineRule="auto"/>
      </w:pPr>
      <w:r>
        <w:rPr>
          <w:b/>
        </w:rPr>
        <w:t xml:space="preserve">Say </w:t>
      </w:r>
      <w:r>
        <w:t>A referenced section needs the right document or chapter identity; matching its number alone is insufficient. Interactions such as supersession also need an explicit direction, scope and supporting evidence. The system should preserve an unresolved dependency or conflict when those pieces are missing rather than infer that every state rule overrides every local rule.</w:t>
      </w:r>
    </w:p>
    <w:p>
      <w:pPr>
        <w:keepNext/>
        <w:spacing w:after="80" w:line="240" w:lineRule="auto"/>
      </w:pPr>
      <w:r>
        <w:rPr>
          <w:b/>
        </w:rPr>
        <w:t xml:space="preserve">If asked further </w:t>
      </w:r>
      <w:r>
        <w:t>An external reference cannot silently become a same-numbered local section. Broad preemption does not establish every state-to-local relationship. Cycles, uncertain scope and overlapping versions retain review issues.</w:t>
      </w:r>
    </w:p>
    <w:p>
      <w:pPr>
        <w:keepNext/>
        <w:spacing w:after="80" w:line="240" w:lineRule="auto"/>
      </w:pPr>
      <w:r>
        <w:rPr>
          <w:b/>
          <w:sz w:val="20"/>
        </w:rPr>
        <w:t xml:space="preserve">Evidence </w:t>
      </w:r>
      <w:r>
        <w:rPr>
          <w:sz w:val="20"/>
        </w:rPr>
        <w:t>Open the reference and the interaction direction, scope and evidence.</w:t>
      </w:r>
    </w:p>
    <w:p>
      <w:pPr>
        <w:keepNext w:val="0"/>
        <w:spacing w:after="80" w:line="240" w:lineRule="auto"/>
      </w:pPr>
      <w:r>
        <w:rPr>
          <w:sz w:val="19"/>
        </w:rPr>
      </w:r>
      <w:hyperlink r:id="rId31">
        <w:r>
          <w:rPr>
            <w:color w:val="000000"/>
            <w:u w:val="single"/>
            <w:sz w:val="19"/>
            <w:rFonts w:ascii="Arial" w:hAnsi="Arial"/>
          </w:rPr>
          <w:t>Reference retrieval</w:t>
        </w:r>
      </w:hyperlink>
      <w:r>
        <w:rPr>
          <w:sz w:val="19"/>
        </w:rPr>
        <w:t xml:space="preserve">  |  </w:t>
      </w:r>
      <w:hyperlink r:id="rId14">
        <w:r>
          <w:rPr>
            <w:color w:val="000000"/>
            <w:u w:val="single"/>
            <w:sz w:val="19"/>
            <w:rFonts w:ascii="Arial" w:hAnsi="Arial"/>
          </w:rPr>
          <w:t>Interaction evaluator</w:t>
        </w:r>
      </w:hyperlink>
      <w:r>
        <w:rPr>
          <w:sz w:val="19"/>
        </w:rPr>
        <w:t xml:space="preserve">  |  </w:t>
      </w:r>
      <w:hyperlink r:id="rId24">
        <w:r>
          <w:rPr>
            <w:color w:val="000000"/>
            <w:u w:val="single"/>
            <w:sz w:val="19"/>
            <w:rFonts w:ascii="Arial" w:hAnsi="Arial"/>
          </w:rPr>
          <w:t>Change mapping</w:t>
        </w:r>
      </w:hyperlink>
    </w:p>
    <w:p>
      <w:pPr>
        <w:pStyle w:val="Heading2"/>
        <w:spacing w:line="240" w:lineRule="auto" w:after="80" w:before="160"/>
      </w:pPr>
      <w:r>
        <w:t>28 How can someone reproduce a result without trusting the cache</w:t>
      </w:r>
    </w:p>
    <w:p>
      <w:pPr>
        <w:keepNext/>
        <w:spacing w:after="80" w:line="240" w:lineRule="auto"/>
      </w:pPr>
      <w:r>
        <w:rPr>
          <w:b/>
        </w:rPr>
        <w:t xml:space="preserve">Say </w:t>
      </w:r>
      <w:r>
        <w:t>Replay preserves the request, property inputs, rules, sources and relevant review records, then runs the matching application version and compares the response. Cache identity binds inputs and implementation versions, so changed evidence should invalidate reuse. A reproduced answer establishes repeatable computation for those inputs; it does not establish legal correctness or complete coverage.</w:t>
      </w:r>
    </w:p>
    <w:p>
      <w:pPr>
        <w:keepNext/>
        <w:spacing w:after="80" w:line="240" w:lineRule="auto"/>
      </w:pPr>
      <w:r>
        <w:rPr>
          <w:b/>
        </w:rPr>
        <w:t xml:space="preserve">If asked further </w:t>
      </w:r>
      <w:r>
        <w:t>Extraction lineage and analysis replay are distinct. Extraction cache hits retain their original run identity. Evidence packages exclude other properties and credentials and never execute packaged code. Hash equality alone is not replay.</w:t>
      </w:r>
    </w:p>
    <w:p>
      <w:pPr>
        <w:keepNext/>
        <w:spacing w:after="80" w:line="240" w:lineRule="auto"/>
      </w:pPr>
      <w:r>
        <w:rPr>
          <w:b/>
          <w:sz w:val="20"/>
        </w:rPr>
        <w:t xml:space="preserve">Evidence </w:t>
      </w:r>
      <w:r>
        <w:rPr>
          <w:sz w:val="20"/>
        </w:rPr>
        <w:t>Open package hashes, code identity and the replay result.</w:t>
      </w:r>
    </w:p>
    <w:p>
      <w:pPr>
        <w:keepNext w:val="0"/>
        <w:spacing w:after="80" w:line="240" w:lineRule="auto"/>
      </w:pPr>
      <w:r>
        <w:rPr>
          <w:sz w:val="19"/>
        </w:rPr>
      </w:r>
      <w:hyperlink r:id="rId10">
        <w:r>
          <w:rPr>
            <w:color w:val="000000"/>
            <w:u w:val="single"/>
            <w:sz w:val="19"/>
            <w:rFonts w:ascii="Arial" w:hAnsi="Arial"/>
          </w:rPr>
          <w:t>Evidence package contract</w:t>
        </w:r>
      </w:hyperlink>
      <w:r>
        <w:rPr>
          <w:sz w:val="19"/>
        </w:rPr>
        <w:t xml:space="preserve">  |  </w:t>
      </w:r>
      <w:hyperlink r:id="rId32">
        <w:r>
          <w:rPr>
            <w:color w:val="000000"/>
            <w:u w:val="single"/>
            <w:sz w:val="19"/>
            <w:rFonts w:ascii="Arial" w:hAnsi="Arial"/>
          </w:rPr>
          <w:t>Package builder</w:t>
        </w:r>
      </w:hyperlink>
      <w:r>
        <w:rPr>
          <w:sz w:val="19"/>
        </w:rPr>
        <w:t xml:space="preserve">  |  </w:t>
      </w:r>
      <w:hyperlink r:id="rId28">
        <w:r>
          <w:rPr>
            <w:color w:val="000000"/>
            <w:u w:val="single"/>
            <w:sz w:val="19"/>
            <w:rFonts w:ascii="Arial" w:hAnsi="Arial"/>
          </w:rPr>
          <w:t>Assist cache identity</w:t>
        </w:r>
      </w:hyperlink>
    </w:p>
    <w:sectPr w:rsidR="00FC693F" w:rsidRPr="0006063C" w:rsidSect="00034616">
      <w:footerReference w:type="default" r:id="rId9"/>
      <w:pgSz w:w="12240" w:h="15840"/>
      <w:pgMar w:top="950" w:right="1094" w:bottom="936" w:left="109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TENENT judge preparation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80"/>
    </w:pPr>
    <w:rPr>
      <w:rFonts w:asciiTheme="majorHAnsi" w:eastAsiaTheme="majorEastAsia" w:hAnsiTheme="majorHAnsi" w:cstheme="majorBidi" w:ascii="Arial" w:hAnsi="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zhu08/realpage-eggs/blob/45f8ccf1b555102fb623eeda8bcaffd48d17ffa5/docs/CONTRACTS.md" TargetMode="External"/><Relationship Id="rId11" Type="http://schemas.openxmlformats.org/officeDocument/2006/relationships/hyperlink" Target="https://github.com/vzhu08/realpage-eggs/blob/45f8ccf1b555102fb623eeda8bcaffd48d17ffa5/docs/ASSIST_DEMO.md" TargetMode="External"/><Relationship Id="rId12" Type="http://schemas.openxmlformats.org/officeDocument/2006/relationships/hyperlink" Target="https://github.com/vzhu08/realpage-eggs/blob/45f8ccf1b555102fb623eeda8bcaffd48d17ffa5/README.md" TargetMode="External"/><Relationship Id="rId13" Type="http://schemas.openxmlformats.org/officeDocument/2006/relationships/hyperlink" Target="https://github.com/vzhu08/realpage-eggs/blob/45f8ccf1b555102fb623eeda8bcaffd48d17ffa5/docs/ASSIST_CONTRACT.md" TargetMode="External"/><Relationship Id="rId14" Type="http://schemas.openxmlformats.org/officeDocument/2006/relationships/hyperlink" Target="https://github.com/vzhu08/realpage-eggs/blob/45f8ccf1b555102fb623eeda8bcaffd48d17ffa5/navigator/engine.py" TargetMode="External"/><Relationship Id="rId15" Type="http://schemas.openxmlformats.org/officeDocument/2006/relationships/hyperlink" Target="https://github.com/vzhu08/realpage-eggs/blob/45f8ccf1b555102fb623eeda8bcaffd48d17ffa5/frontend/docs/demo-backup/README.md" TargetMode="External"/><Relationship Id="rId16" Type="http://schemas.openxmlformats.org/officeDocument/2006/relationships/hyperlink" Target="https://github.com/vzhu08/realpage-eggs/blob/45f8ccf1b555102fb623eeda8bcaffd48d17ffa5/frontend/package.json" TargetMode="External"/><Relationship Id="rId17" Type="http://schemas.openxmlformats.org/officeDocument/2006/relationships/hyperlink" Target="https://github.com/vzhu08/realpage-eggs/blob/45f8ccf1b555102fb623eeda8bcaffd48d17ffa5/navigator/question_planner.py" TargetMode="External"/><Relationship Id="rId18" Type="http://schemas.openxmlformats.org/officeDocument/2006/relationships/hyperlink" Target="https://github.com/vzhu08/realpage-eggs/blob/45f8ccf1b555102fb623eeda8bcaffd48d17ffa5/docs/SOURCE_DATA_AUDIT.md" TargetMode="External"/><Relationship Id="rId19" Type="http://schemas.openxmlformats.org/officeDocument/2006/relationships/hyperlink" Target="https://github.com/vzhu08/realpage-eggs/blob/45f8ccf1b555102fb623eeda8bcaffd48d17ffa5/navigator/source_policy.py" TargetMode="External"/><Relationship Id="rId20" Type="http://schemas.openxmlformats.org/officeDocument/2006/relationships/hyperlink" Target="https://github.com/vzhu08/realpage-eggs/blob/45f8ccf1b555102fb623eeda8bcaffd48d17ffa5/docs/CHANGE_CASE_READINESS.md" TargetMode="External"/><Relationship Id="rId21" Type="http://schemas.openxmlformats.org/officeDocument/2006/relationships/hyperlink" Target="https://github.com/vzhu08/realpage-eggs/blob/45f8ccf1b555102fb623eeda8bcaffd48d17ffa5/scripts/check_change_cases.py" TargetMode="External"/><Relationship Id="rId22" Type="http://schemas.openxmlformats.org/officeDocument/2006/relationships/hyperlink" Target="https://github.com/vzhu08/realpage-eggs/blob/45f8ccf1b555102fb623eeda8bcaffd48d17ffa5/navigator/evidence.py" TargetMode="External"/><Relationship Id="rId23" Type="http://schemas.openxmlformats.org/officeDocument/2006/relationships/hyperlink" Target="https://github.com/vzhu08/realpage-eggs/blob/45f8ccf1b555102fb623eeda8bcaffd48d17ffa5/navigator/fact_inputs.py" TargetMode="External"/><Relationship Id="rId24" Type="http://schemas.openxmlformats.org/officeDocument/2006/relationships/hyperlink" Target="https://github.com/vzhu08/realpage-eggs/blob/45f8ccf1b555102fb623eeda8bcaffd48d17ffa5/navigator/changes.py" TargetMode="External"/><Relationship Id="rId25" Type="http://schemas.openxmlformats.org/officeDocument/2006/relationships/hyperlink" Target="https://github.com/vzhu08/realpage-eggs/blob/45f8ccf1b555102fb623eeda8bcaffd48d17ffa5/docs/change_case_sources/RUNBOOK.md" TargetMode="External"/><Relationship Id="rId26" Type="http://schemas.openxmlformats.org/officeDocument/2006/relationships/hyperlink" Target="https://github.com/vzhu08/realpage-eggs/blob/45f8ccf1b555102fb623eeda8bcaffd48d17ffa5/navigator/api.py" TargetMode="External"/><Relationship Id="rId27" Type="http://schemas.openxmlformats.org/officeDocument/2006/relationships/hyperlink" Target="https://github.com/vzhu08/realpage-eggs/blob/45f8ccf1b555102fb623eeda8bcaffd48d17ffa5/navigator/models.py" TargetMode="External"/><Relationship Id="rId28" Type="http://schemas.openxmlformats.org/officeDocument/2006/relationships/hyperlink" Target="https://github.com/vzhu08/realpage-eggs/blob/45f8ccf1b555102fb623eeda8bcaffd48d17ffa5/navigator/assist_cache.py" TargetMode="External"/><Relationship Id="rId29" Type="http://schemas.openxmlformats.org/officeDocument/2006/relationships/hyperlink" Target="https://github.com/vzhu08/realpage-eggs/blob/45f8ccf1b555102fb623eeda8bcaffd48d17ffa5/docs/DATA_SOURCE_RULES.md" TargetMode="External"/><Relationship Id="rId30" Type="http://schemas.openxmlformats.org/officeDocument/2006/relationships/hyperlink" Target="https://github.com/vzhu08/realpage-eggs/blob/45f8ccf1b555102fb623eeda8bcaffd48d17ffa5/navigator/predicates.py" TargetMode="External"/><Relationship Id="rId31" Type="http://schemas.openxmlformats.org/officeDocument/2006/relationships/hyperlink" Target="https://github.com/vzhu08/realpage-eggs/blob/45f8ccf1b555102fb623eeda8bcaffd48d17ffa5/navigator/retrieval.py" TargetMode="External"/><Relationship Id="rId32" Type="http://schemas.openxmlformats.org/officeDocument/2006/relationships/hyperlink" Target="https://github.com/vzhu08/realpage-eggs/blob/45f8ccf1b555102fb623eeda8bcaffd48d17ffa5/navigator/evidence_packag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TENENT judge interview preparation</dc:title>
  <dc:subject>Hackathon product and technical question rehearsal</dc:subject>
  <dc:creator>TENENT</dc:creator>
  <cp:keywords>TENENT, judge questions,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