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pPr>
              <w:jc w:val="left"/>
            </w:pPr>
            <w:r/>
            <w:r>
              <w:rPr>
                <w:b w:val="0"/>
                <w:sz w:val="18"/>
              </w:rPr>
              <w:t>30 de abril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br w:type="page"/>
      </w:r>
    </w:p>
    <w:p>
      <w:pPr>
        <w:pStyle w:val="Heading1"/>
      </w:pPr>
      <w:r>
        <w:t>1. Vision del producto</w:t>
      </w:r>
    </w:p>
    <w:p>
      <w: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pPr>
              <w:jc w:val="left"/>
            </w:pPr>
            <w:r/>
            <w:r>
              <w:rPr>
                <w:b w:val="0"/>
                <w:sz w:val="18"/>
              </w:rPr>
              <w:t>Completado y probado end-to-end: ingesta, embeddings locales, busqueda pgvector, contexto en chat y respuesta de Claude citando fuente.</w:t>
            </w:r>
          </w:p>
        </w:tc>
      </w:tr>
      <w:tr>
        <w:tc>
          <w:tcPr>
            <w:tcW w:type="dxa" w:w="2592"/>
            <w:vAlign w:val="center"/>
          </w:tcPr>
          <w:p>
            <w:pPr>
              <w:jc w:val="left"/>
            </w:pPr>
            <w:r/>
            <w:r>
              <w:rPr>
                <w:b w:val="0"/>
                <w:sz w:val="18"/>
              </w:rPr>
              <w:t>Chat</w:t>
            </w:r>
          </w:p>
        </w:tc>
        <w:tc>
          <w:tcPr>
            <w:tcW w:type="dxa" w:w="7632"/>
            <w:vAlign w:val="center"/>
            <w:shd w:fill="EDEDED"/>
          </w:tcPr>
          <w:p>
            <w:pPr>
              <w:jc w:val="left"/>
            </w:pPr>
            <w:r/>
            <w:r>
              <w:rPr>
                <w:b w:val="0"/>
                <w:sz w:val="18"/>
              </w:rPr>
              <w:t>Implementado con conversaciones persistidas, provider Claude y prompt especializado HVAC/R.</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pPr>
              <w:jc w:val="left"/>
            </w:pPr>
            <w:r/>
            <w:r>
              <w:rPr>
                <w:b w:val="0"/>
                <w:sz w:val="18"/>
              </w:rPr>
              <w:t>Pendiente: aparecen en requerimientos, no estan implementados.</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t>3. Arquitectura actual local</w:t>
      </w:r>
    </w:p>
    <w:p>
      <w:pPr>
        <w:pStyle w:val="ListBullet"/>
        <w:spacing w:after="40"/>
      </w:pPr>
      <w:r>
        <w:t>API: FastAPI con SQLAlchemy async y routers versionados bajo /api/v1.</w:t>
      </w:r>
    </w:p>
    <w:p>
      <w:pPr>
        <w:pStyle w:val="ListBullet"/>
        <w:spacing w:after="40"/>
      </w:pPr>
      <w:r>
        <w:t>Base de datos: PostgreSQL 16 con extension pgvector para chunks semanticos.</w:t>
      </w:r>
    </w:p>
    <w:p>
      <w:pPr>
        <w:pStyle w:val="ListBullet"/>
        <w:spacing w:after="40"/>
      </w:pPr>
      <w:r>
        <w:t>Cache/infra local: Redis y MinIO levantados por Docker Compose.</w:t>
      </w:r>
    </w:p>
    <w:p>
      <w:pPr>
        <w:pStyle w:val="ListBullet"/>
        <w:spacing w:after="40"/>
      </w:pPr>
      <w:r>
        <w:t>LLM desarrollo: Claude API directa mediante ClaudeProvider.</w:t>
      </w:r>
    </w:p>
    <w:p>
      <w:pPr>
        <w:pStyle w:val="ListBullet"/>
        <w:spacing w:after="40"/>
      </w:pPr>
      <w:r>
        <w:t>Embeddings RAG: sentence-transformers local dentro de la API, independiente del proveedor de chat.</w:t>
      </w:r>
    </w:p>
    <w:p>
      <w:pPr>
        <w:pStyle w:val="ListBullet"/>
        <w:spacing w:after="40"/>
      </w:pPr>
      <w: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t>4. Arquitectura objetivo de produccion</w:t>
      </w:r>
    </w:p>
    <w:p>
      <w:pPr>
        <w:pStyle w:val="ListBullet"/>
        <w:spacing w:after="40"/>
      </w:pPr>
      <w:r>
        <w:t>Mantener Strategy Pattern para cambiar proveedores sin reescribir logica de negocio.</w:t>
      </w:r>
    </w:p>
    <w:p>
      <w:pPr>
        <w:pStyle w:val="ListBullet"/>
        <w:spacing w:after="40"/>
      </w:pPr>
      <w:r>
        <w:t>Produccion prevista en AWS: ECS/Fargate o equivalente, RDS PostgreSQL con pgvector, ElastiCache Redis, S3 y Bedrock/Claude segun costo/calidad.</w:t>
      </w:r>
    </w:p>
    <w:p>
      <w:pPr>
        <w:pStyle w:val="ListBullet"/>
        <w:spacing w:after="40"/>
      </w:pPr>
      <w:r>
        <w:t>Autenticacion prevista con Cognito/JWT y roles technician/admin.</w:t>
      </w:r>
    </w:p>
    <w:p>
      <w:pPr>
        <w:pStyle w:val="ListBullet"/>
        <w:spacing w:after="40"/>
      </w:pPr>
      <w:r>
        <w:t>Migraciones reales con Alembic antes de promover cambios de esquema.</w:t>
      </w:r>
    </w:p>
    <w:p>
      <w:pPr>
        <w:pStyle w:val="ListBullet"/>
        <w:spacing w:after="40"/>
      </w:pPr>
      <w:r>
        <w:t>Observabilidad pendiente: logs estructurados, metricas de costo/tokens, errores de proveedor AI y tiempos de retrieval.</w:t>
      </w:r>
    </w:p>
    <w:p>
      <w:pPr>
        <w:pStyle w:val="Heading1"/>
      </w:pPr>
      <w: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pPr>
              <w:jc w:val="left"/>
            </w:pPr>
            <w:r/>
            <w:r>
              <w:rPr>
                <w:b w:val="0"/>
                <w:sz w:val="18"/>
              </w:rPr>
              <w:t>Chat HVAC/R</w:t>
            </w:r>
          </w:p>
        </w:tc>
        <w:tc>
          <w:tcPr>
            <w:tcW w:type="dxa" w:w="1872"/>
            <w:vAlign w:val="center"/>
            <w:shd w:fill="D9EAD3"/>
          </w:tcPr>
          <w:p>
            <w:pPr>
              <w:jc w:val="left"/>
            </w:pPr>
            <w:r/>
            <w:r>
              <w:rPr>
                <w:b w:val="0"/>
                <w:sz w:val="18"/>
              </w:rPr>
              <w:t>Completado parcial</w:t>
            </w:r>
          </w:p>
        </w:tc>
        <w:tc>
          <w:tcPr>
            <w:tcW w:type="dxa" w:w="6192"/>
            <w:vAlign w:val="center"/>
          </w:tcPr>
          <w:p>
            <w:pPr>
              <w:jc w:val="left"/>
            </w:pPr>
            <w:r/>
            <w:r>
              <w:rPr>
                <w:b w:val="0"/>
                <w:sz w:val="18"/>
              </w:rPr>
              <w:t>Funciona con Claude y RAG; falta streaming, cache, rate limiting y autenticacion.</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bl>
    <w:p/>
    <w:p>
      <w:pPr>
        <w:pStyle w:val="Heading1"/>
      </w:pPr>
      <w: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bl>
    <w:p/>
    <w:p>
      <w:pPr>
        <w:pStyle w:val="Heading1"/>
      </w:pPr>
      <w: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pPr>
              <w:jc w:val="left"/>
            </w:pPr>
            <w:r/>
            <w:r>
              <w:rPr>
                <w:b w:val="0"/>
                <w:sz w:val="18"/>
              </w:rPr>
              <w:t>1</w:t>
            </w:r>
          </w:p>
        </w:tc>
        <w:tc>
          <w:tcPr>
            <w:tcW w:type="dxa" w:w="3024"/>
            <w:vAlign w:val="center"/>
          </w:tcPr>
          <w:p>
            <w:pPr>
              <w:jc w:val="left"/>
            </w:pPr>
            <w:r/>
            <w:r>
              <w:rPr>
                <w:b w:val="0"/>
                <w:sz w:val="18"/>
              </w:rPr>
              <w:t>Cerrar milestone RAG</w:t>
            </w:r>
          </w:p>
        </w:tc>
        <w:tc>
          <w:tcPr>
            <w:tcW w:type="dxa" w:w="6048"/>
            <w:vAlign w:val="center"/>
          </w:tcPr>
          <w:p>
            <w:pPr>
              <w:jc w:val="left"/>
            </w:pPr>
            <w:r/>
            <w:r>
              <w:rPr>
                <w:b w:val="0"/>
                <w:sz w:val="18"/>
              </w:rPr>
              <w:t>Siguiente paso recomendado. Agregar migracion formal, tests minimos, limpiar cambios y hacer commit.</w:t>
            </w:r>
          </w:p>
        </w:tc>
      </w:tr>
      <w:tr>
        <w:tc>
          <w:tcPr>
            <w:tcW w:type="dxa" w:w="1152"/>
            <w:vAlign w:val="center"/>
          </w:tcPr>
          <w:p>
            <w:pPr>
              <w:jc w:val="left"/>
            </w:pPr>
            <w:r/>
            <w:r>
              <w:rPr>
                <w:b w:val="0"/>
                <w:sz w:val="18"/>
              </w:rPr>
              <w:t>2</w:t>
            </w:r>
          </w:p>
        </w:tc>
        <w:tc>
          <w:tcPr>
            <w:tcW w:type="dxa" w:w="3024"/>
            <w:vAlign w:val="center"/>
          </w:tcPr>
          <w:p>
            <w:pPr>
              <w:jc w:val="left"/>
            </w:pPr>
            <w:r/>
            <w:r>
              <w:rPr>
                <w:b w:val="0"/>
                <w:sz w:val="18"/>
              </w:rPr>
              <w:t>Cache y control de costos</w:t>
            </w:r>
          </w:p>
        </w:tc>
        <w:tc>
          <w:tcPr>
            <w:tcW w:type="dxa" w:w="6048"/>
            <w:vAlign w:val="center"/>
          </w:tcPr>
          <w:p>
            <w:pPr>
              <w:jc w:val="left"/>
            </w:pPr>
            <w:r/>
            <w:r>
              <w:rPr>
                <w:b w:val="0"/>
                <w:sz w:val="18"/>
              </w:rPr>
              <w:t>Redis para respuestas similares, tracking de tokens y politicas de TTL.</w:t>
            </w:r>
          </w:p>
        </w:tc>
      </w:tr>
      <w:tr>
        <w:tc>
          <w:tcPr>
            <w:tcW w:type="dxa" w:w="1152"/>
            <w:vAlign w:val="center"/>
          </w:tcPr>
          <w:p>
            <w:pPr>
              <w:jc w:val="left"/>
            </w:pPr>
            <w:r/>
            <w:r>
              <w:rPr>
                <w:b w:val="0"/>
                <w:sz w:val="18"/>
              </w:rPr>
              <w:t>3</w:t>
            </w:r>
          </w:p>
        </w:tc>
        <w:tc>
          <w:tcPr>
            <w:tcW w:type="dxa" w:w="3024"/>
            <w:vAlign w:val="center"/>
          </w:tcPr>
          <w:p>
            <w:pPr>
              <w:jc w:val="left"/>
            </w:pPr>
            <w:r/>
            <w:r>
              <w:rPr>
                <w:b w:val="0"/>
                <w:sz w:val="18"/>
              </w:rPr>
              <w:t>WebSocket streaming</w:t>
            </w:r>
          </w:p>
        </w:tc>
        <w:tc>
          <w:tcPr>
            <w:tcW w:type="dxa" w:w="6048"/>
            <w:vAlign w:val="center"/>
          </w:tcPr>
          <w:p>
            <w:pPr>
              <w:jc w:val="left"/>
            </w:pPr>
            <w:r/>
            <w:r>
              <w:rPr>
                <w:b w:val="0"/>
                <w:sz w:val="18"/>
              </w:rPr>
              <w:t>Mejorar UX del chat con respuesta en tiempo real.</w:t>
            </w:r>
          </w:p>
        </w:tc>
      </w:tr>
      <w:tr>
        <w:tc>
          <w:tcPr>
            <w:tcW w:type="dxa" w:w="1152"/>
            <w:vAlign w:val="center"/>
          </w:tcPr>
          <w:p>
            <w:pPr>
              <w:jc w:val="left"/>
            </w:pPr>
            <w:r/>
            <w:r>
              <w:rPr>
                <w:b w:val="0"/>
                <w:sz w:val="18"/>
              </w:rPr>
              <w:t>4</w:t>
            </w:r>
          </w:p>
        </w:tc>
        <w:tc>
          <w:tcPr>
            <w:tcW w:type="dxa" w:w="3024"/>
            <w:vAlign w:val="center"/>
          </w:tcPr>
          <w:p>
            <w:pPr>
              <w:jc w:val="left"/>
            </w:pPr>
            <w:r/>
            <w:r>
              <w:rPr>
                <w:b w:val="0"/>
                <w:sz w:val="18"/>
              </w:rPr>
              <w:t>Codigos de error</w:t>
            </w:r>
          </w:p>
        </w:tc>
        <w:tc>
          <w:tcPr>
            <w:tcW w:type="dxa" w:w="6048"/>
            <w:vAlign w:val="center"/>
          </w:tcPr>
          <w:p>
            <w:pPr>
              <w:jc w:val="left"/>
            </w:pPr>
            <w:r/>
            <w:r>
              <w:rPr>
                <w:b w:val="0"/>
                <w:sz w:val="18"/>
              </w:rPr>
              <w:t>Seed inicial por fabricante/modelo y endpoints reales de busqueda.</w:t>
            </w:r>
          </w:p>
        </w:tc>
      </w:tr>
      <w:tr>
        <w:tc>
          <w:tcPr>
            <w:tcW w:type="dxa" w:w="1152"/>
            <w:vAlign w:val="center"/>
          </w:tcPr>
          <w:p>
            <w:pPr>
              <w:jc w:val="left"/>
            </w:pPr>
            <w:r/>
            <w:r>
              <w:rPr>
                <w:b w:val="0"/>
                <w:sz w:val="18"/>
              </w:rPr>
              <w:t>5</w:t>
            </w:r>
          </w:p>
        </w:tc>
        <w:tc>
          <w:tcPr>
            <w:tcW w:type="dxa" w:w="3024"/>
            <w:vAlign w:val="center"/>
          </w:tcPr>
          <w:p>
            <w:pPr>
              <w:jc w:val="left"/>
            </w:pPr>
            <w:r/>
            <w:r>
              <w:rPr>
                <w:b w:val="0"/>
                <w:sz w:val="18"/>
              </w:rPr>
              <w:t>Frontend MVP</w:t>
            </w:r>
          </w:p>
        </w:tc>
        <w:tc>
          <w:tcPr>
            <w:tcW w:type="dxa" w:w="6048"/>
            <w:vAlign w:val="center"/>
          </w:tcPr>
          <w:p>
            <w:pPr>
              <w:jc w:val="left"/>
            </w:pPr>
            <w:r/>
            <w:r>
              <w:rPr>
                <w:b w:val="0"/>
                <w:sz w:val="18"/>
              </w:rPr>
              <w:t>Iniciar cuando backend/RAG este consolidado y documentado.</w:t>
            </w:r>
          </w:p>
        </w:tc>
      </w:tr>
    </w:tbl>
    <w:p/>
    <w:p>
      <w:pPr>
        <w:pStyle w:val="Heading1"/>
      </w:pPr>
      <w:r>
        <w:t>8. Proximo paso recomendado</w:t>
      </w:r>
    </w:p>
    <w:p>
      <w:r>
        <w:t>Antes de iniciar otra feature, cerrar formalmente el milestone RAG:</w:t>
      </w:r>
    </w:p>
    <w:p>
      <w:pPr>
        <w:pStyle w:val="ListNumber"/>
        <w:spacing w:after="40"/>
      </w:pPr>
      <w:r>
        <w:t>Agregar migracion real o estrategia limpia de esquema para pgvector y columnas nuevas.</w:t>
      </w:r>
    </w:p>
    <w:p>
      <w:pPr>
        <w:pStyle w:val="ListNumber"/>
        <w:spacing w:after="40"/>
      </w:pPr>
      <w:r>
        <w:t>Agregar tests minimos de RAG: ingesta, busqueda y chat con contexto mockeado.</w:t>
      </w:r>
    </w:p>
    <w:p>
      <w:pPr>
        <w:pStyle w:val="ListNumber"/>
        <w:spacing w:after="40"/>
      </w:pPr>
      <w:r>
        <w:t>Limpiar y revisar cambios sin trackear relacionados al RAG.</w:t>
      </w:r>
    </w:p>
    <w:p>
      <w:pPr>
        <w:pStyle w:val="ListNumber"/>
        <w:spacing w:after="40"/>
      </w:pPr>
      <w: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t>10. Reglas de mantenimiento documental</w:t>
      </w:r>
    </w:p>
    <w:p>
      <w:pPr>
        <w:pStyle w:val="ListBullet"/>
        <w:spacing w:after="40"/>
      </w:pPr>
      <w:r>
        <w:t>Actualizar este DOCX maestro al cerrar cada milestone tecnico.</w:t>
      </w:r>
    </w:p>
    <w:p>
      <w:pPr>
        <w:pStyle w:val="ListBullet"/>
        <w:spacing w:after="40"/>
      </w:pPr>
      <w:r>
        <w:t>Usar plans/ solo para planes temporales de la tarea activa; no como documentacion permanente.</w:t>
      </w:r>
    </w:p>
    <w:p>
      <w:pPr>
        <w:pStyle w:val="ListBullet"/>
        <w:spacing w:after="40"/>
      </w:pPr>
      <w:r>
        <w:t>Si se cambia una API publica, actualizar el inventario de APIs en este documento.</w:t>
      </w:r>
    </w:p>
    <w:p>
      <w:pPr>
        <w:pStyle w:val="ListBullet"/>
        <w:spacing w:after="40"/>
      </w:pPr>
      <w:r>
        <w:t>Si se cambia arquitectura AI, actualizar la seccion de arquitectura local y el indice de documentos historicos.</w:t>
      </w:r>
    </w:p>
    <w:p>
      <w:pPr>
        <w:pStyle w:val="ListBullet"/>
        <w:spacing w:after="40"/>
      </w:pPr>
      <w:r>
        <w:t>Evitar que documentos historicos vuelvan a ser fuente de verdad sin revisarlos primero.</w:t>
      </w:r>
    </w:p>
    <w:p>
      <w:pPr>
        <w:pStyle w:val="Heading1"/>
      </w:pPr>
      <w:r>
        <w:t>11. Cierre de Fase A</w:t>
      </w:r>
    </w:p>
    <w:p>
      <w: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t>11.1 Que resuelve Alembic</w:t>
      </w:r>
    </w:p>
    <w:p>
      <w:pPr>
        <w:pStyle w:val="ListBullet"/>
        <w:spacing w:after="40"/>
      </w:pPr>
      <w:r>
        <w:t>Evita perder el RAG cuando existan documentos reales y haya que cambiar el schema.</w:t>
      </w:r>
    </w:p>
    <w:p>
      <w:pPr>
        <w:pStyle w:val="ListBullet"/>
        <w:spacing w:after="40"/>
      </w:pPr>
      <w:r>
        <w:t>Permite saber exactamente que version de base de datos espera el codigo.</w:t>
      </w:r>
    </w:p>
    <w:p>
      <w:pPr>
        <w:pStyle w:val="ListBullet"/>
        <w:spacing w:after="40"/>
      </w:pPr>
      <w:r>
        <w:t>Hace repetible crear una base desde cero para tests, otra maquina o un futuro staging.</w:t>
      </w:r>
    </w:p>
    <w:p>
      <w:pPr>
        <w:pStyle w:val="ListBullet"/>
        <w:spacing w:after="40"/>
      </w:pPr>
      <w:r>
        <w:t>Reduce el riesgo de depender de create_all(), que crea tablas nuevas pero no migra tablas existentes.</w:t>
      </w:r>
    </w:p>
    <w:p>
      <w:pPr>
        <w:pStyle w:val="Heading2"/>
      </w:pPr>
      <w:r>
        <w:t>11.2 Como se valida Fase A</w:t>
      </w:r>
    </w:p>
    <w:p>
      <w:pPr>
        <w:pStyle w:val="ListBullet"/>
        <w:spacing w:after="40"/>
      </w:pPr>
      <w:r>
        <w:t>Unit tests para prompt RAG, ingesta, contexto, PDF sin texto y chat con Claude mockeado.</w:t>
      </w:r>
    </w:p>
    <w:p>
      <w:pPr>
        <w:pStyle w:val="ListBullet"/>
        <w:spacing w:after="40"/>
      </w:pPr>
      <w:r>
        <w:t>Integration tests con PostgreSQL/pgvector real para alembic upgrade head, vector(384), ingesta, busqueda, filtros, cascada de borrado y glosario.</w:t>
      </w:r>
    </w:p>
    <w:p>
      <w:pPr>
        <w:pStyle w:val="ListBullet"/>
        <w:spacing w:after="40"/>
      </w:pPr>
      <w:r>
        <w:t>El glosario sirve como catalogo vivo de fuentes usadas por el RAG.</w:t>
      </w:r>
    </w:p>
    <w:p>
      <w:pPr>
        <w:pStyle w:val="Heading2"/>
      </w:pPr>
      <w: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rPr>
        <w:t xml:space="preserve">Referencia tecnica: </w:t>
      </w:r>
      <w:r>
        <w:t>backend/alembic/README.md contiene los comandos recomendados para base nueva, base local existente y tests con coolagent_test.</w:t>
      </w:r>
    </w:p>
    <w:p>
      <w:pPr>
        <w:pStyle w:val="Heading1"/>
      </w:pPr>
      <w:r>
        <w:t>12. Fase B0: Guardrails del asistente</w:t>
      </w:r>
    </w:p>
    <w:p>
      <w: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t>12.1 Relacion con Fase B</w:t>
      </w:r>
    </w:p>
    <w:p>
      <w:pPr>
        <w:pStyle w:val="ListBullet"/>
        <w:spacing w:after="40"/>
      </w:pPr>
      <w:r>
        <w:t>Fase B0 debe quedar antes de cache/costos.</w:t>
      </w:r>
    </w:p>
    <w:p>
      <w:pPr>
        <w:pStyle w:val="ListBullet"/>
        <w:spacing w:after="40"/>
      </w:pPr>
      <w:r>
        <w:t>El cache futuro debe incluir la version de politica del prompt en la llave o metadata.</w:t>
      </w:r>
    </w:p>
    <w:p>
      <w:pPr>
        <w:pStyle w:val="ListBullet"/>
        <w:spacing w:after="40"/>
      </w:pPr>
      <w:r>
        <w:t>Si cambia el comportamiento del asistente, respuestas cacheadas con politicas anteriores no deben reutilizarse.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