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r>
              <w:t>1 de mayo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rPr>
          <w:sz w:val="21"/>
        </w:rPr>
        <w:br w:type="page"/>
      </w:r>
    </w:p>
    <w:p>
      <w:pPr>
        <w:pStyle w:val="Heading1"/>
      </w:pPr>
      <w:r>
        <w:rPr>
          <w:sz w:val="21"/>
        </w:rPr>
        <w:t>1. Vision del producto</w:t>
      </w:r>
    </w:p>
    <w:p>
      <w:r>
        <w:rPr>
          <w:sz w:val="21"/>
        </w:rP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rPr>
          <w:sz w:val="21"/>
        </w:rP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pPr>
              <w:jc w:val="left"/>
            </w:pPr>
            <w:r/>
            <w:r>
              <w:rPr>
                <w:b/>
                <w:color w:val="FFFFFF"/>
                <w:sz w:val="18"/>
              </w:rPr>
              <w:t>Estado actual al 30/04/2026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r>
              <w:t>Fase A cerrada: ingesta, embeddings locales, busqueda pgvector, chat con contexto, glosario, Alembic y tests robustos.</w:t>
            </w:r>
          </w:p>
        </w:tc>
      </w:tr>
      <w:tr>
        <w:tc>
          <w:tcPr>
            <w:tcW w:type="dxa" w:w="2592"/>
            <w:vAlign w:val="center"/>
          </w:tcPr>
          <w:p>
            <w:pPr>
              <w:jc w:val="left"/>
            </w:pPr>
            <w:r/>
            <w:r>
              <w:rPr>
                <w:b w:val="0"/>
                <w:sz w:val="18"/>
              </w:rPr>
              <w:t>Chat</w:t>
            </w:r>
          </w:p>
        </w:tc>
        <w:tc>
          <w:tcPr>
            <w:tcW w:type="dxa" w:w="7632"/>
            <w:vAlign w:val="center"/>
            <w:shd w:fill="EDEDED"/>
          </w:tcPr>
          <w:p>
            <w:r>
              <w:t>Implementado con conversaciones persistidas, provider Claude, prompt de refrigeracion general, DomainGuard, RAG, cache exacto y tracking de uso/tokens.</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pPr>
              <w:jc w:val="left"/>
            </w:pPr>
            <w:r/>
            <w:r>
              <w:rPr>
                <w:b w:val="0"/>
                <w:sz w:val="18"/>
              </w:rPr>
              <w:t>Placeholder: modelos/schemas existen, router devuelve listas vacias.</w:t>
            </w:r>
          </w:p>
        </w:tc>
      </w:tr>
      <w:tr>
        <w:tc>
          <w:tcPr>
            <w:tcW w:type="dxa" w:w="2592"/>
            <w:vAlign w:val="center"/>
          </w:tcPr>
          <w:p>
            <w:pPr>
              <w:jc w:val="left"/>
            </w:pPr>
            <w:r/>
            <w:r>
              <w:rPr>
                <w:b w:val="0"/>
                <w:sz w:val="18"/>
              </w:rPr>
              <w:t>Frontend</w:t>
            </w:r>
          </w:p>
        </w:tc>
        <w:tc>
          <w:tcPr>
            <w:tcW w:type="dxa" w:w="7632"/>
            <w:vAlign w:val="center"/>
            <w:shd w:fill="F4CCCC"/>
          </w:tcPr>
          <w:p>
            <w:pPr>
              <w:jc w:val="left"/>
            </w:pPr>
            <w:r/>
            <w:r>
              <w:rPr>
                <w:b w:val="0"/>
                <w:sz w:val="18"/>
              </w:rPr>
              <w:t>Vacio: solo .gitkeep.</w:t>
            </w:r>
          </w:p>
        </w:tc>
      </w:tr>
      <w:tr>
        <w:tc>
          <w:tcPr>
            <w:tcW w:type="dxa" w:w="2592"/>
            <w:vAlign w:val="center"/>
          </w:tcPr>
          <w:p>
            <w:pPr>
              <w:jc w:val="left"/>
            </w:pPr>
            <w:r/>
            <w:r>
              <w:rPr>
                <w:b w:val="0"/>
                <w:sz w:val="18"/>
              </w:rPr>
              <w:t>Auth, roles y rate limiting</w:t>
            </w:r>
          </w:p>
        </w:tc>
        <w:tc>
          <w:tcPr>
            <w:tcW w:type="dxa" w:w="7632"/>
            <w:vAlign w:val="center"/>
            <w:shd w:fill="FFF2CC"/>
          </w:tcPr>
          <w:p>
            <w:pPr>
              <w:jc w:val="left"/>
            </w:pPr>
            <w:r/>
            <w:r>
              <w:rPr>
                <w:b w:val="0"/>
                <w:sz w:val="18"/>
              </w:rPr>
              <w:t>Pendiente: aparecen en requerimientos, no estan implementados.</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r>
        <w:tc>
          <w:tcPr>
            <w:tcW w:type="dxa" w:w="5112"/>
          </w:tcPr>
          <w:p>
            <w:r>
              <w:t>Uso, tokens y cache</w:t>
            </w:r>
          </w:p>
        </w:tc>
        <w:tc>
          <w:tcPr>
            <w:tcW w:type="dxa" w:w="5112"/>
          </w:tcPr>
          <w:p>
            <w:r>
              <w:t>Parcial implementado en Fase B: tabla usage_events, endpoint de resumen y cache exacto con Redis. Queda pendiente cache semantico y politica fina de costos.</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rPr>
          <w:sz w:val="21"/>
        </w:rPr>
        <w:t>3. Arquitectura actual local</w:t>
      </w:r>
    </w:p>
    <w:p>
      <w:pPr>
        <w:pStyle w:val="ListBullet"/>
        <w:spacing w:after="40"/>
      </w:pPr>
      <w:r>
        <w:rPr>
          <w:sz w:val="21"/>
        </w:rPr>
        <w:t>API: FastAPI con SQLAlchemy async y routers versionados bajo /api/v1.</w:t>
      </w:r>
    </w:p>
    <w:p>
      <w:pPr>
        <w:pStyle w:val="ListBullet"/>
        <w:spacing w:after="40"/>
      </w:pPr>
      <w:r>
        <w:rPr>
          <w:sz w:val="21"/>
        </w:rPr>
        <w:t>Base de datos: PostgreSQL 16 con extension pgvector para chunks semanticos.</w:t>
      </w:r>
    </w:p>
    <w:p>
      <w:pPr>
        <w:pStyle w:val="ListBullet"/>
        <w:spacing w:after="40"/>
      </w:pPr>
      <w:r>
        <w:rPr>
          <w:sz w:val="21"/>
        </w:rPr>
        <w:t>Cache/infra local: Redis y MinIO levantados por Docker Compose.</w:t>
      </w:r>
    </w:p>
    <w:p>
      <w:pPr>
        <w:pStyle w:val="ListBullet"/>
        <w:spacing w:after="40"/>
      </w:pPr>
      <w:r>
        <w:rPr>
          <w:sz w:val="21"/>
        </w:rPr>
        <w:t>LLM desarrollo: Claude API directa mediante ClaudeProvider.</w:t>
      </w:r>
    </w:p>
    <w:p>
      <w:pPr>
        <w:pStyle w:val="ListBullet"/>
        <w:spacing w:after="40"/>
      </w:pPr>
      <w:r>
        <w:rPr>
          <w:sz w:val="21"/>
        </w:rPr>
        <w:t>Embeddings RAG: sentence-transformers local dentro de la API, independiente del proveedor de chat.</w:t>
      </w:r>
    </w:p>
    <w:p>
      <w:pPr>
        <w:pStyle w:val="ListBullet"/>
        <w:spacing w:after="40"/>
      </w:pPr>
      <w:r>
        <w:rPr>
          <w:sz w:val="21"/>
        </w:rP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rPr>
          <w:sz w:val="21"/>
        </w:rPr>
        <w:t>4. Arquitectura objetivo de produccion</w:t>
      </w:r>
    </w:p>
    <w:p>
      <w:pPr>
        <w:pStyle w:val="ListBullet"/>
        <w:spacing w:after="40"/>
      </w:pPr>
      <w:r>
        <w:rPr>
          <w:sz w:val="21"/>
        </w:rPr>
        <w:t>Mantener Strategy Pattern para cambiar proveedores sin reescribir logica de negocio.</w:t>
      </w:r>
    </w:p>
    <w:p>
      <w:pPr>
        <w:pStyle w:val="ListBullet"/>
        <w:spacing w:after="40"/>
      </w:pPr>
      <w:r>
        <w:rPr>
          <w:sz w:val="21"/>
        </w:rPr>
        <w:t>Produccion prevista en AWS: ECS/Fargate o equivalente, RDS PostgreSQL con pgvector, ElastiCache Redis, S3 y Bedrock/Claude segun costo/calidad.</w:t>
      </w:r>
    </w:p>
    <w:p>
      <w:pPr>
        <w:pStyle w:val="ListBullet"/>
        <w:spacing w:after="40"/>
      </w:pPr>
      <w:r>
        <w:rPr>
          <w:sz w:val="21"/>
        </w:rPr>
        <w:t>Autenticacion prevista con Cognito/JWT y roles technician/admin.</w:t>
      </w:r>
    </w:p>
    <w:p>
      <w:pPr>
        <w:pStyle w:val="ListBullet"/>
        <w:spacing w:after="40"/>
      </w:pPr>
      <w:r>
        <w:rPr>
          <w:sz w:val="21"/>
        </w:rPr>
        <w:t>Migraciones reales con Alembic antes de promover cambios de esquema.</w:t>
      </w:r>
    </w:p>
    <w:p>
      <w:pPr>
        <w:pStyle w:val="ListBullet"/>
        <w:spacing w:after="40"/>
      </w:pPr>
      <w:r>
        <w:rPr>
          <w:sz w:val="21"/>
        </w:rPr>
        <w:t>Observabilidad pendiente: logs estructurados, metricas de costo/tokens, errores de proveedor AI y tiempos de retrieval.</w:t>
      </w:r>
    </w:p>
    <w:p>
      <w:pPr>
        <w:pStyle w:val="Heading1"/>
      </w:pPr>
      <w:r>
        <w:rPr>
          <w:sz w:val="21"/>
        </w:rP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pPr>
              <w:jc w:val="left"/>
            </w:pPr>
            <w:r/>
            <w:r>
              <w:rPr>
                <w:b w:val="0"/>
                <w:sz w:val="18"/>
              </w:rPr>
              <w:t>Completado probado</w:t>
            </w:r>
          </w:p>
        </w:tc>
        <w:tc>
          <w:tcPr>
            <w:tcW w:type="dxa" w:w="6192"/>
            <w:vAlign w:val="center"/>
          </w:tcPr>
          <w:p>
            <w:pPr>
              <w:jc w:val="left"/>
            </w:pPr>
            <w:r/>
            <w:r>
              <w:rPr>
                <w:b w:val="0"/>
                <w:sz w:val="18"/>
              </w:rPr>
              <w:t>Endpoints para upload PDF/text, listado, busqueda y borrado. Falta migracion formal y tests.</w:t>
            </w:r>
          </w:p>
        </w:tc>
      </w:tr>
      <w:tr>
        <w:tc>
          <w:tcPr>
            <w:tcW w:type="dxa" w:w="2160"/>
            <w:vAlign w:val="center"/>
          </w:tcPr>
          <w:p>
            <w:r>
              <w:t>Chat refrigeracion general</w:t>
            </w:r>
          </w:p>
        </w:tc>
        <w:tc>
          <w:tcPr>
            <w:tcW w:type="dxa" w:w="1872"/>
            <w:vAlign w:val="center"/>
            <w:shd w:fill="D9EAD3"/>
          </w:tcPr>
          <w:p>
            <w:r>
              <w:t>Completado parcial</w:t>
            </w:r>
          </w:p>
        </w:tc>
        <w:tc>
          <w:tcPr>
            <w:tcW w:type="dxa" w:w="6192"/>
            <w:vAlign w:val="center"/>
          </w:tcPr>
          <w:p>
            <w:r>
              <w:t>Funciona con Claude, RAG, prompt versionado, DomainGuard y cache exacto. Falta streaming, autenticacion, cuotas y UX final.</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pPr>
              <w:jc w:val="left"/>
            </w:pPr>
            <w:r/>
            <w:r>
              <w:rPr>
                <w:b w:val="0"/>
                <w:sz w:val="18"/>
              </w:rPr>
              <w:t>Placeholder</w:t>
            </w:r>
          </w:p>
        </w:tc>
        <w:tc>
          <w:tcPr>
            <w:tcW w:type="dxa" w:w="6192"/>
            <w:vAlign w:val="center"/>
          </w:tcPr>
          <w:p>
            <w:pPr>
              <w:jc w:val="left"/>
            </w:pPr>
            <w:r/>
            <w:r>
              <w:rPr>
                <w:b w:val="0"/>
                <w:sz w:val="18"/>
              </w:rPr>
              <w:t>Modelos/schemas existen; busqueda y seed de datos pendientes.</w:t>
            </w:r>
          </w:p>
        </w:tc>
      </w:tr>
      <w:tr>
        <w:tc>
          <w:tcPr>
            <w:tcW w:type="dxa" w:w="2160"/>
            <w:vAlign w:val="center"/>
          </w:tcPr>
          <w:p>
            <w:pPr>
              <w:jc w:val="left"/>
            </w:pPr>
            <w:r/>
            <w:r>
              <w:rPr>
                <w:b w:val="0"/>
                <w:sz w:val="18"/>
              </w:rPr>
              <w:t>Frontend movil</w:t>
            </w:r>
          </w:p>
        </w:tc>
        <w:tc>
          <w:tcPr>
            <w:tcW w:type="dxa" w:w="1872"/>
            <w:vAlign w:val="center"/>
            <w:shd w:fill="F4CCCC"/>
          </w:tcPr>
          <w:p>
            <w:pPr>
              <w:jc w:val="left"/>
            </w:pPr>
            <w:r/>
            <w:r>
              <w:rPr>
                <w:b w:val="0"/>
                <w:sz w:val="18"/>
              </w:rPr>
              <w:t>Vacio</w:t>
            </w:r>
          </w:p>
        </w:tc>
        <w:tc>
          <w:tcPr>
            <w:tcW w:type="dxa" w:w="6192"/>
            <w:vAlign w:val="center"/>
          </w:tcPr>
          <w:p>
            <w:pPr>
              <w:jc w:val="left"/>
            </w:pPr>
            <w:r/>
            <w:r>
              <w:rPr>
                <w:b w:val="0"/>
                <w:sz w:val="18"/>
              </w:rPr>
              <w:t>No iniciar como prioridad hasta cerrar milestone RAG y ordenar docs.</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r>
        <w:tc>
          <w:tcPr>
            <w:tcW w:type="dxa" w:w="3408"/>
          </w:tcPr>
          <w:p>
            <w:r>
              <w:t>Uso, tokens y cache</w:t>
            </w:r>
          </w:p>
        </w:tc>
        <w:tc>
          <w:tcPr>
            <w:tcW w:type="dxa" w:w="3408"/>
          </w:tcPr>
          <w:p>
            <w:r>
              <w:t>Parcial implementado</w:t>
            </w:r>
          </w:p>
        </w:tc>
        <w:tc>
          <w:tcPr>
            <w:tcW w:type="dxa" w:w="3408"/>
          </w:tcPr>
          <w:p>
            <w:r>
              <w:t>UsageEvent registra tokens, cache hits/misses y bloqueos de dominio. Redis cachea respuestas exactas con TTL e invalidacion por version de prompt, historial, contexto RAG y huella global de la knowledge base.</w:t>
            </w:r>
          </w:p>
        </w:tc>
      </w:tr>
    </w:tbl>
    <w:p/>
    <w:p>
      <w:pPr>
        <w:pStyle w:val="Heading1"/>
      </w:pPr>
      <w:r>
        <w:rPr>
          <w:sz w:val="21"/>
        </w:rP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/api/v1/chat/conversations/{conversation_id}/messages</w:t>
            </w:r>
          </w:p>
        </w:tc>
        <w:tc>
          <w:tcPr>
            <w:tcW w:type="dxa" w:w="2448"/>
            <w:vAlign w:val="center"/>
            <w:shd w:fill="D9EAD3"/>
          </w:tcPr>
          <w:p>
            <w:pPr>
              <w:jc w:val="left"/>
            </w:pPr>
            <w:r/>
            <w:r>
              <w:rPr>
                <w:b w:val="0"/>
                <w:sz w:val="18"/>
              </w:rPr>
              <w:t>Actual con RAG</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r>
        <w:tc>
          <w:tcPr>
            <w:tcW w:type="dxa" w:w="3408"/>
          </w:tcPr>
          <w:p>
            <w:r>
              <w:t>Usage</w:t>
            </w:r>
          </w:p>
        </w:tc>
        <w:tc>
          <w:tcPr>
            <w:tcW w:type="dxa" w:w="3408"/>
          </w:tcPr>
          <w:p>
            <w:r>
              <w:t>GET /api/v1/usage/summary</w:t>
            </w:r>
          </w:p>
        </w:tc>
        <w:tc>
          <w:tcPr>
            <w:tcW w:type="dxa" w:w="3408"/>
          </w:tcPr>
          <w:p>
            <w:r>
              <w:t>Actual: resume tokens, cache hits/misses y bloqueos de dominio.</w:t>
            </w:r>
          </w:p>
        </w:tc>
      </w:tr>
    </w:tbl>
    <w:p/>
    <w:p>
      <w:pPr>
        <w:pStyle w:val="Heading1"/>
      </w:pPr>
      <w:r>
        <w:rPr>
          <w:sz w:val="21"/>
        </w:rP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r>
              <w:t>1</w:t>
            </w:r>
          </w:p>
        </w:tc>
        <w:tc>
          <w:tcPr>
            <w:tcW w:type="dxa" w:w="3024"/>
            <w:vAlign w:val="center"/>
          </w:tcPr>
          <w:p>
            <w:r>
              <w:t>Fase A cerrada</w:t>
            </w:r>
          </w:p>
        </w:tc>
        <w:tc>
          <w:tcPr>
            <w:tcW w:type="dxa" w:w="6048"/>
            <w:vAlign w:val="center"/>
          </w:tcPr>
          <w:p>
            <w:r>
              <w:t>RAG protegido: Alembic, tests, glosario y datos locales conservados.</w:t>
            </w:r>
          </w:p>
        </w:tc>
      </w:tr>
      <w:tr>
        <w:tc>
          <w:tcPr>
            <w:tcW w:type="dxa" w:w="1152"/>
            <w:vAlign w:val="center"/>
          </w:tcPr>
          <w:p>
            <w:r>
              <w:t>2</w:t>
            </w:r>
          </w:p>
        </w:tc>
        <w:tc>
          <w:tcPr>
            <w:tcW w:type="dxa" w:w="3024"/>
            <w:vAlign w:val="center"/>
          </w:tcPr>
          <w:p>
            <w:r>
              <w:t>Fase B0 cerrada</w:t>
            </w:r>
          </w:p>
        </w:tc>
        <w:tc>
          <w:tcPr>
            <w:tcW w:type="dxa" w:w="6048"/>
            <w:vAlign w:val="center"/>
          </w:tcPr>
          <w:p>
            <w:r>
              <w:t>Prompt y guardrails de refrigeracion general antes de cachear respuestas.</w:t>
            </w:r>
          </w:p>
        </w:tc>
      </w:tr>
      <w:tr>
        <w:tc>
          <w:tcPr>
            <w:tcW w:type="dxa" w:w="1152"/>
            <w:vAlign w:val="center"/>
          </w:tcPr>
          <w:p>
            <w:r>
              <w:t>3</w:t>
            </w:r>
          </w:p>
        </w:tc>
        <w:tc>
          <w:tcPr>
            <w:tcW w:type="dxa" w:w="3024"/>
            <w:vAlign w:val="center"/>
          </w:tcPr>
          <w:p>
            <w:r>
              <w:t>Fase B en progreso</w:t>
            </w:r>
          </w:p>
        </w:tc>
        <w:tc>
          <w:tcPr>
            <w:tcW w:type="dxa" w:w="6048"/>
            <w:vAlign w:val="center"/>
          </w:tcPr>
          <w:p>
            <w:r>
              <w:t>Implementado tracking de uso/tokens y cache exacto con Redis. Pendiente cache semantico, invalidacion avanzada y precios configurables.</w:t>
            </w:r>
          </w:p>
        </w:tc>
      </w:tr>
      <w:tr>
        <w:tc>
          <w:tcPr>
            <w:tcW w:type="dxa" w:w="1152"/>
            <w:vAlign w:val="center"/>
          </w:tcPr>
          <w:p>
            <w:r>
              <w:t>4</w:t>
            </w:r>
          </w:p>
        </w:tc>
        <w:tc>
          <w:tcPr>
            <w:tcW w:type="dxa" w:w="3024"/>
            <w:vAlign w:val="center"/>
          </w:tcPr>
          <w:p>
            <w:r>
              <w:t>WebSocket streaming</w:t>
            </w:r>
          </w:p>
        </w:tc>
        <w:tc>
          <w:tcPr>
            <w:tcW w:type="dxa" w:w="6048"/>
            <w:vAlign w:val="center"/>
          </w:tcPr>
          <w:p>
            <w:r>
              <w:t>Mejorar UX del chat con respuesta en tiempo real.</w:t>
            </w:r>
          </w:p>
        </w:tc>
      </w:tr>
      <w:tr>
        <w:tc>
          <w:tcPr>
            <w:tcW w:type="dxa" w:w="1152"/>
            <w:vAlign w:val="center"/>
          </w:tcPr>
          <w:p>
            <w:r>
              <w:t>5</w:t>
            </w:r>
          </w:p>
        </w:tc>
        <w:tc>
          <w:tcPr>
            <w:tcW w:type="dxa" w:w="3024"/>
            <w:vAlign w:val="center"/>
          </w:tcPr>
          <w:p>
            <w:r>
              <w:t>Codigos de error</w:t>
            </w:r>
          </w:p>
        </w:tc>
        <w:tc>
          <w:tcPr>
            <w:tcW w:type="dxa" w:w="6048"/>
            <w:vAlign w:val="center"/>
          </w:tcPr>
          <w:p>
            <w:r>
              <w:t>Seed inicial por fabricante/modelo y endpoints reales de busqueda.</w:t>
            </w:r>
          </w:p>
        </w:tc>
      </w:tr>
      <w:tr>
        <w:tc>
          <w:tcPr>
            <w:tcW w:type="dxa" w:w="3408"/>
          </w:tcPr>
          <w:p>
            <w:r>
              <w:t>6</w:t>
            </w:r>
          </w:p>
        </w:tc>
        <w:tc>
          <w:tcPr>
            <w:tcW w:type="dxa" w:w="3408"/>
          </w:tcPr>
          <w:p>
            <w:r>
              <w:t>Frontend MVP</w:t>
            </w:r>
          </w:p>
        </w:tc>
        <w:tc>
          <w:tcPr>
            <w:tcW w:type="dxa" w:w="3408"/>
          </w:tcPr>
          <w:p>
            <w:r>
              <w:t>Iniciar cuando el backend tenga contratos de API estables para chat, RAG, usage y errores.</w:t>
            </w:r>
          </w:p>
        </w:tc>
      </w:tr>
    </w:tbl>
    <w:p/>
    <w:p>
      <w:pPr>
        <w:pStyle w:val="Heading1"/>
      </w:pPr>
      <w:r>
        <w:rPr>
          <w:sz w:val="21"/>
        </w:rPr>
        <w:t>8. Proximo paso recomendado</w:t>
      </w:r>
    </w:p>
    <w:p>
      <w:r>
        <w:rPr>
          <w:sz w:val="21"/>
        </w:rPr>
        <w:t>Antes de iniciar otra feature, cerrar formalmente el milestone RAG:</w:t>
      </w:r>
    </w:p>
    <w:p>
      <w:pPr>
        <w:pStyle w:val="ListNumber"/>
        <w:spacing w:after="40"/>
      </w:pPr>
      <w:r>
        <w:rPr>
          <w:sz w:val="21"/>
        </w:rPr>
        <w:t>Agregar migracion real o estrategia limpia de esquema para pgvector y columnas nuevas.</w:t>
      </w:r>
    </w:p>
    <w:p>
      <w:pPr>
        <w:pStyle w:val="ListNumber"/>
        <w:spacing w:after="40"/>
      </w:pPr>
      <w:r>
        <w:rPr>
          <w:sz w:val="21"/>
        </w:rPr>
        <w:t>Agregar tests minimos de RAG: ingesta, busqueda y chat con contexto mockeado.</w:t>
      </w:r>
    </w:p>
    <w:p>
      <w:pPr>
        <w:pStyle w:val="ListNumber"/>
        <w:spacing w:after="40"/>
      </w:pPr>
      <w:r>
        <w:rPr>
          <w:sz w:val="21"/>
        </w:rPr>
        <w:t>Limpiar y revisar cambios sin trackear relacionados al RAG.</w:t>
      </w:r>
    </w:p>
    <w:p>
      <w:pPr>
        <w:pStyle w:val="ListNumber"/>
        <w:spacing w:after="40"/>
      </w:pPr>
      <w:r>
        <w:rPr>
          <w:sz w:val="21"/>
        </w:rPr>
        <w:t>Hacer commit del backend RAG como hito estable.</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Recomendacion de secuencia</w:t>
            </w:r>
          </w:p>
          <w:p>
            <w:pPr>
              <w:spacing w:after="0"/>
            </w:pPr>
            <w:r>
              <w:rPr>
                <w:sz w:val="18"/>
              </w:rPr>
              <w:t>No iniciar frontend todavia. El frontend depende de contratos de API y estados de producto; conviene congelar primero el hito RAG y este documento maestro.</w:t>
            </w:r>
          </w:p>
        </w:tc>
      </w:tr>
    </w:tbl>
    <w:p/>
    <w:p>
      <w:pPr>
        <w:pStyle w:val="Heading1"/>
      </w:pPr>
      <w:r>
        <w:rPr>
          <w:sz w:val="21"/>
        </w:rP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rPr>
          <w:sz w:val="21"/>
        </w:rPr>
        <w:t>10. Reglas de mantenimiento documental</w:t>
      </w:r>
    </w:p>
    <w:p>
      <w:pPr>
        <w:pStyle w:val="ListBullet"/>
        <w:spacing w:after="40"/>
      </w:pPr>
      <w:r>
        <w:rPr>
          <w:sz w:val="21"/>
        </w:rPr>
        <w:t>Actualizar este DOCX maestro al cerrar cada milestone tecnico.</w:t>
      </w:r>
    </w:p>
    <w:p>
      <w:pPr>
        <w:pStyle w:val="ListBullet"/>
        <w:spacing w:after="40"/>
      </w:pPr>
      <w:r>
        <w:rPr>
          <w:sz w:val="21"/>
        </w:rPr>
        <w:t>Usar plans/ solo para planes temporales de la tarea activa; no como documentacion permanente.</w:t>
      </w:r>
    </w:p>
    <w:p>
      <w:pPr>
        <w:pStyle w:val="ListBullet"/>
        <w:spacing w:after="40"/>
      </w:pPr>
      <w:r>
        <w:rPr>
          <w:sz w:val="21"/>
        </w:rPr>
        <w:t>Si se cambia una API publica, actualizar el inventario de APIs en este documento.</w:t>
      </w:r>
    </w:p>
    <w:p>
      <w:pPr>
        <w:pStyle w:val="ListBullet"/>
        <w:spacing w:after="40"/>
      </w:pPr>
      <w:r>
        <w:rPr>
          <w:sz w:val="21"/>
        </w:rPr>
        <w:t>Si se cambia arquitectura AI, actualizar la seccion de arquitectura local y el indice de documentos historicos.</w:t>
      </w:r>
    </w:p>
    <w:p>
      <w:pPr>
        <w:pStyle w:val="ListBullet"/>
        <w:spacing w:after="40"/>
      </w:pPr>
      <w:r>
        <w:rPr>
          <w:sz w:val="21"/>
        </w:rPr>
        <w:t>Evitar que documentos historicos vuelvan a ser fuente de verdad sin revisarlos primero.</w:t>
      </w:r>
    </w:p>
    <w:p>
      <w:pPr>
        <w:pStyle w:val="Heading1"/>
      </w:pPr>
      <w:r>
        <w:rPr>
          <w:sz w:val="21"/>
        </w:rPr>
        <w:t>11. Cierre de Fase A</w:t>
      </w:r>
    </w:p>
    <w:p>
      <w:r>
        <w:rPr>
          <w:sz w:val="21"/>
        </w:rP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rPr>
          <w:sz w:val="21"/>
        </w:rPr>
        <w:t>11.1 Que resuelve Alembic</w:t>
      </w:r>
    </w:p>
    <w:p>
      <w:pPr>
        <w:pStyle w:val="ListBullet"/>
        <w:spacing w:after="40"/>
      </w:pPr>
      <w:r>
        <w:rPr>
          <w:sz w:val="21"/>
        </w:rPr>
        <w:t>Evita perder el RAG cuando existan documentos reales y haya que cambiar el schema.</w:t>
      </w:r>
    </w:p>
    <w:p>
      <w:pPr>
        <w:pStyle w:val="ListBullet"/>
        <w:spacing w:after="40"/>
      </w:pPr>
      <w:r>
        <w:rPr>
          <w:sz w:val="21"/>
        </w:rPr>
        <w:t>Permite saber exactamente que version de base de datos espera el codigo.</w:t>
      </w:r>
    </w:p>
    <w:p>
      <w:pPr>
        <w:pStyle w:val="ListBullet"/>
        <w:spacing w:after="40"/>
      </w:pPr>
      <w:r>
        <w:rPr>
          <w:sz w:val="21"/>
        </w:rPr>
        <w:t>Hace repetible crear una base desde cero para tests, otra maquina o un futuro staging.</w:t>
      </w:r>
    </w:p>
    <w:p>
      <w:pPr>
        <w:pStyle w:val="ListBullet"/>
        <w:spacing w:after="40"/>
      </w:pPr>
      <w:r>
        <w:rPr>
          <w:sz w:val="21"/>
        </w:rPr>
        <w:t>Reduce el riesgo de depender de create_all(), que crea tablas nuevas pero no migra tablas existentes.</w:t>
      </w:r>
    </w:p>
    <w:p>
      <w:pPr>
        <w:pStyle w:val="Heading2"/>
      </w:pPr>
      <w:r>
        <w:rPr>
          <w:sz w:val="21"/>
        </w:rPr>
        <w:t>11.2 Como se valida Fase A</w:t>
      </w:r>
    </w:p>
    <w:p>
      <w:pPr>
        <w:pStyle w:val="ListBullet"/>
        <w:spacing w:after="40"/>
      </w:pPr>
      <w:r>
        <w:rPr>
          <w:sz w:val="21"/>
        </w:rPr>
        <w:t>Unit tests para prompt RAG, ingesta, contexto, PDF sin texto y chat con Claude mockeado.</w:t>
      </w:r>
    </w:p>
    <w:p>
      <w:pPr>
        <w:pStyle w:val="ListBullet"/>
        <w:spacing w:after="40"/>
      </w:pPr>
      <w:r>
        <w:rPr>
          <w:sz w:val="21"/>
        </w:rPr>
        <w:t>Integration tests con PostgreSQL/pgvector real para alembic upgrade head, vector(384), ingesta, busqueda, filtros, cascada de borrado y glosario.</w:t>
      </w:r>
    </w:p>
    <w:p>
      <w:pPr>
        <w:pStyle w:val="ListBullet"/>
        <w:spacing w:after="40"/>
      </w:pPr>
      <w:r>
        <w:rPr>
          <w:sz w:val="21"/>
        </w:rPr>
        <w:t>El glosario sirve como catalogo vivo de fuentes usadas por el RAG.</w:t>
      </w:r>
    </w:p>
    <w:p>
      <w:pPr>
        <w:pStyle w:val="Heading2"/>
      </w:pPr>
      <w:r>
        <w:rPr>
          <w:sz w:val="21"/>
        </w:rP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pPr>
              <w:jc w:val="left"/>
            </w:pPr>
            <w:r>
              <w:rPr>
                <w:b/>
                <w:color w:val="17324D"/>
                <w:sz w:val="20"/>
              </w:rPr>
              <w:t>Cuidado con bases ya creadas</w:t>
            </w:r>
          </w:p>
          <w:p>
            <w:r>
              <w:rPr>
                <w:sz w:val="18"/>
              </w:rPr>
              <w:t>La base local actual puede tener tablas creadas antes de Alembic. Para una base nueva se usa alembic upgrade head. Para una base local existente, primero se verifica que el schema coincida con la migracion baseline; si coincide, se usa alembic stamp head. No se debe correr upgrade head a ciegas sobre tablas existentes con datos reales.</w:t>
            </w:r>
          </w:p>
        </w:tc>
      </w:tr>
    </w:tbl>
    <w:p/>
    <w:p>
      <w:r>
        <w:rPr>
          <w:b/>
          <w:sz w:val="21"/>
        </w:rPr>
        <w:t xml:space="preserve">Referencia tecnica: </w:t>
      </w:r>
      <w:r>
        <w:rPr>
          <w:sz w:val="21"/>
        </w:rPr>
        <w:t>backend/alembic/README.md contiene los comandos recomendados para base nueva, base local existente y tests con coolagent_test.</w:t>
      </w:r>
    </w:p>
    <w:p>
      <w:pPr>
        <w:pStyle w:val="Heading1"/>
      </w:pPr>
      <w:r>
        <w:rPr>
          <w:sz w:val="21"/>
        </w:rPr>
        <w:t>12. Fase B0: Guardrails del asistente</w:t>
      </w:r>
    </w:p>
    <w:p>
      <w:r>
        <w:rPr>
          <w:sz w:val="21"/>
        </w:rP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rPr>
          <w:sz w:val="21"/>
        </w:rPr>
        <w:t>12.1 Relacion con Fase B</w:t>
      </w:r>
    </w:p>
    <w:p>
      <w:pPr>
        <w:pStyle w:val="ListBullet"/>
        <w:spacing w:after="40"/>
      </w:pPr>
      <w:r>
        <w:rPr>
          <w:sz w:val="21"/>
        </w:rPr>
        <w:t>Fase B0 debe quedar antes de cache/costos.</w:t>
      </w:r>
    </w:p>
    <w:p>
      <w:pPr>
        <w:pStyle w:val="ListBullet"/>
        <w:spacing w:after="40"/>
      </w:pPr>
      <w:r>
        <w:rPr>
          <w:sz w:val="21"/>
        </w:rPr>
        <w:t>El cache futuro debe incluir la version de politica del prompt en la llave o metadata.</w:t>
      </w:r>
    </w:p>
    <w:p>
      <w:pPr>
        <w:pStyle w:val="ListBullet"/>
        <w:spacing w:after="40"/>
      </w:pPr>
      <w:r>
        <w:rPr>
          <w:sz w:val="21"/>
        </w:rPr>
        <w:t>Si cambia el comportamiento del asistente, respuestas cacheadas con politicas anteriores no deben reutilizarse.</w:t>
      </w:r>
    </w:p>
    <w:p>
      <w:pPr>
        <w:pStyle w:val="Heading1"/>
      </w:pPr>
      <w:r>
        <w:rPr>
          <w:sz w:val="21"/>
        </w:rPr>
        <w:t>13. Fase B: uso, tokens y cache exacto</w:t>
      </w:r>
    </w:p>
    <w:p>
      <w:r>
        <w:rPr>
          <w:sz w:val="21"/>
        </w:rPr>
        <w:t>Esta fase empieza a reducir costo y latencia sin cambiar el comportamiento principal del RAG. La prioridad fue medir uso y cachear solo respuestas exactas cuando la pregunta, el proveedor, el modelo, la version del prompt y el contexto RAG coinciden.</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20260501_0002 crea usage_events para registrar actividad de chat sin tocar knowledge_documents ni knowledge_chunks.</w:t>
            </w:r>
          </w:p>
        </w:tc>
      </w:tr>
      <w:tr>
        <w:tc>
          <w:tcPr>
            <w:tcW w:type="dxa" w:w="5112"/>
          </w:tcPr>
          <w:p>
            <w:r>
              <w:t>Tracking</w:t>
            </w:r>
          </w:p>
        </w:tc>
        <w:tc>
          <w:tcPr>
            <w:tcW w:type="dxa" w:w="5112"/>
          </w:tcPr>
          <w:p>
            <w:r>
              <w:t>Cada respuesta registra cache_status: miss cuando llama al provider, hit cuando responde desde Redis y blocked cuando DomainGuard corta la consulta.</w:t>
            </w:r>
          </w:p>
        </w:tc>
      </w:tr>
      <w:tr>
        <w:tc>
          <w:tcPr>
            <w:tcW w:type="dxa" w:w="5112"/>
          </w:tcPr>
          <w:p>
            <w:r>
              <w:t>Endpoint</w:t>
            </w:r>
          </w:p>
        </w:tc>
        <w:tc>
          <w:tcPr>
            <w:tcW w:type="dxa" w:w="5112"/>
          </w:tcPr>
          <w:p>
            <w:r>
              <w:t>GET /api/v1/usage/summary muestra eventos, tokens de entrada/salida, cache hits/misses y bloqueos de dominio.</w:t>
            </w:r>
          </w:p>
        </w:tc>
      </w:tr>
      <w:tr>
        <w:tc>
          <w:tcPr>
            <w:tcW w:type="dxa" w:w="5112"/>
          </w:tcPr>
          <w:p>
            <w:r>
              <w:t>Cache exacto</w:t>
            </w:r>
          </w:p>
        </w:tc>
        <w:tc>
          <w:tcPr>
            <w:tcW w:type="dxa" w:w="5112"/>
          </w:tcPr>
          <w:p>
            <w:r>
              <w:t>Redis guarda respuestas por TTL. La llave incluye provider, modelo, PROMPT_POLICY_VERSION, pregunta normalizada, huella del historial, hash del contexto RAG y huella global de la knowledge base.</w:t>
            </w:r>
          </w:p>
        </w:tc>
      </w:tr>
      <w:tr>
        <w:tc>
          <w:tcPr>
            <w:tcW w:type="dxa" w:w="5112"/>
          </w:tcPr>
          <w:p>
            <w:r>
              <w:t>Proteccion del RAG</w:t>
            </w:r>
          </w:p>
        </w:tc>
        <w:tc>
          <w:tcPr>
            <w:tcW w:type="dxa" w:w="5112"/>
          </w:tcPr>
          <w:p>
            <w:r>
              <w:t>Si cambia el contexto recuperado o cambia la knowledge base por ingesta/borrado de documentos, cambia la llave y no se reutiliza una respuesta vieja.</w:t>
            </w:r>
          </w:p>
        </w:tc>
      </w:tr>
      <w:tr>
        <w:tc>
          <w:tcPr>
            <w:tcW w:type="dxa" w:w="5112"/>
          </w:tcPr>
          <w:p>
            <w:r>
              <w:t>Costos</w:t>
            </w:r>
          </w:p>
        </w:tc>
        <w:tc>
          <w:tcPr>
            <w:tcW w:type="dxa" w:w="5112"/>
          </w:tcPr>
          <w:p>
            <w:r>
              <w:t>No se fija precio por defecto para evitar numeros obsoletos. El endpoint queda listo para estimar costos cuando se configuren precios por millon de tokens.</w:t>
            </w:r>
          </w:p>
        </w:tc>
      </w:tr>
      <w:tr>
        <w:tc>
          <w:tcPr>
            <w:tcW w:type="dxa" w:w="5112"/>
          </w:tcPr>
          <w:p>
            <w:r>
              <w:t>Pendiente de Fase B</w:t>
            </w:r>
          </w:p>
        </w:tc>
        <w:tc>
          <w:tcPr>
            <w:tcW w:type="dxa" w:w="5112"/>
          </w:tcPr>
          <w:p>
            <w:r>
              <w:t>Cache semantico, invalidacion mas fina por cambios en documentos y politica de cuotas/autenticacion.</w:t>
            </w:r>
          </w:p>
        </w:tc>
      </w:tr>
      <w:tr>
        <w:tc>
          <w:tcPr>
            <w:tcW w:type="dxa" w:w="5112"/>
          </w:tcPr>
          <w:p>
            <w:r>
              <w:t>Huella knowledge base</w:t>
            </w:r>
          </w:p>
        </w:tc>
        <w:tc>
          <w:tcPr>
            <w:tcW w:type="dxa" w:w="5112"/>
          </w:tcPr>
          <w:p>
            <w:r>
              <w:t>RAGService.knowledge_fingerprint() resume conteos y fechas maximas de documentos/chunks. Cambia al ingerir o borrar material RAG y evita reutilizar cache viejo.</w:t>
            </w:r>
          </w:p>
        </w:tc>
      </w:tr>
    </w:tbl>
    <w:p>
      <w:r>
        <w:rPr>
          <w:sz w:val="21"/>
        </w:rPr>
        <w:t>Nota para futuro: esta base no significa que se vaya a staging o produccion pronto. Solo deja preparado el camino para crecer con menos riesgo cuando llegue ese momento.</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