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483" w:rsidRPr="00C32483" w:rsidRDefault="00C32483" w:rsidP="00C32483">
      <w:pPr>
        <w:spacing w:after="0" w:line="240" w:lineRule="auto"/>
        <w:rPr>
          <w:rFonts w:eastAsia="Times New Roman" w:cs="Times New Roman"/>
          <w:sz w:val="24"/>
          <w:szCs w:val="24"/>
          <w:lang w:eastAsia="de-DE"/>
        </w:rPr>
      </w:pPr>
    </w:p>
    <w:tbl>
      <w:tblPr>
        <w:tblStyle w:val="MittlereSchattierung1-Akzent1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1417"/>
        <w:gridCol w:w="4253"/>
      </w:tblGrid>
      <w:tr w:rsidR="00C32483" w:rsidRPr="00C32483" w:rsidTr="00C32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FFFFFF" w:themeColor="background1"/>
            </w:tcBorders>
            <w:hideMark/>
          </w:tcPr>
          <w:p w:rsidR="00C32483" w:rsidRPr="00C32483" w:rsidRDefault="00C32483" w:rsidP="00C32483">
            <w:pPr>
              <w:spacing w:line="0" w:lineRule="atLeast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Einflussfaktor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32483" w:rsidRPr="00C32483" w:rsidRDefault="00C32483" w:rsidP="00C32483">
            <w:pPr>
              <w:tabs>
                <w:tab w:val="right" w:pos="2165"/>
              </w:tabs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bCs w:val="0"/>
                <w:color w:val="000000"/>
                <w:sz w:val="24"/>
                <w:szCs w:val="24"/>
                <w:lang w:eastAsia="de-DE"/>
              </w:rPr>
              <w:t>Attribut</w:t>
            </w:r>
            <w:r w:rsidRPr="00C32483">
              <w:rPr>
                <w:rFonts w:eastAsia="Times New Roman" w:cs="Arial"/>
                <w:bCs w:val="0"/>
                <w:color w:val="000000"/>
                <w:sz w:val="24"/>
                <w:szCs w:val="24"/>
                <w:lang w:eastAsia="de-DE"/>
              </w:rPr>
              <w:tab/>
            </w:r>
          </w:p>
        </w:tc>
        <w:tc>
          <w:tcPr>
            <w:tcW w:w="141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32483" w:rsidRPr="00C32483" w:rsidRDefault="00C32483" w:rsidP="00C32483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Wichtigkeit</w:t>
            </w:r>
          </w:p>
        </w:tc>
        <w:tc>
          <w:tcPr>
            <w:tcW w:w="4253" w:type="dxa"/>
            <w:tcBorders>
              <w:left w:val="single" w:sz="4" w:space="0" w:color="FFFFFF" w:themeColor="background1"/>
            </w:tcBorders>
            <w:hideMark/>
          </w:tcPr>
          <w:p w:rsidR="00C32483" w:rsidRPr="00C32483" w:rsidRDefault="00C32483" w:rsidP="00C32483">
            <w:pPr>
              <w:spacing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Ausprägungen</w:t>
            </w:r>
          </w:p>
        </w:tc>
      </w:tr>
      <w:tr w:rsidR="00C32483" w:rsidRPr="00C32483" w:rsidTr="00C32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tcBorders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Andere Dienstleister</w:t>
            </w:r>
          </w:p>
        </w:tc>
        <w:tc>
          <w:tcPr>
            <w:tcW w:w="22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Angebotspaket</w:t>
            </w:r>
          </w:p>
        </w:tc>
        <w:tc>
          <w:tcPr>
            <w:tcW w:w="141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4253" w:type="dxa"/>
            <w:tcBorders>
              <w:lef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 w:rsidRPr="00C32483">
              <w:rPr>
                <w:rFonts w:eastAsia="Times New Roman" w:cs="Arial"/>
                <w:color w:val="000000"/>
                <w:sz w:val="24"/>
                <w:szCs w:val="24"/>
                <w:lang w:val="en-US" w:eastAsia="de-DE"/>
              </w:rPr>
              <w:t>Lösungspaket</w:t>
            </w:r>
            <w:proofErr w:type="spellEnd"/>
            <w:r w:rsidRPr="00C32483">
              <w:rPr>
                <w:rFonts w:eastAsia="Times New Roman" w:cs="Arial"/>
                <w:color w:val="000000"/>
                <w:sz w:val="24"/>
                <w:szCs w:val="24"/>
                <w:lang w:val="en-US" w:eastAsia="de-DE"/>
              </w:rPr>
              <w:t xml:space="preserve">, </w:t>
            </w:r>
            <w:r w:rsidRPr="00C32483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val="en-US" w:eastAsia="de-DE"/>
              </w:rPr>
              <w:t>Modular</w:t>
            </w:r>
            <w:r w:rsidRPr="00C32483">
              <w:rPr>
                <w:rFonts w:eastAsia="Times New Roman" w:cs="Arial"/>
                <w:color w:val="000000"/>
                <w:sz w:val="24"/>
                <w:szCs w:val="24"/>
                <w:lang w:val="en-US" w:eastAsia="de-DE"/>
              </w:rPr>
              <w:t>, Pay as you use</w:t>
            </w:r>
          </w:p>
        </w:tc>
      </w:tr>
      <w:tr w:rsidR="00C32483" w:rsidRPr="00C32483" w:rsidTr="00C324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rPr>
                <w:rFonts w:eastAsia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22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Dienstleistungsart</w:t>
            </w:r>
          </w:p>
        </w:tc>
        <w:tc>
          <w:tcPr>
            <w:tcW w:w="141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++</w:t>
            </w:r>
          </w:p>
        </w:tc>
        <w:tc>
          <w:tcPr>
            <w:tcW w:w="4253" w:type="dxa"/>
            <w:tcBorders>
              <w:lef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de-DE"/>
              </w:rPr>
              <w:t>mit Installation</w:t>
            </w: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, nur Beratung</w:t>
            </w:r>
          </w:p>
        </w:tc>
      </w:tr>
      <w:tr w:rsidR="00C32483" w:rsidRPr="00C32483" w:rsidTr="00C32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Verträge</w:t>
            </w:r>
          </w:p>
        </w:tc>
        <w:tc>
          <w:tcPr>
            <w:tcW w:w="141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4253" w:type="dxa"/>
            <w:tcBorders>
              <w:lef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 xml:space="preserve">MT 800 €, MT 1.000  €, </w:t>
            </w:r>
            <w:r w:rsidRPr="00C32483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de-DE"/>
              </w:rPr>
              <w:t>MT 1.200 €</w:t>
            </w:r>
          </w:p>
        </w:tc>
      </w:tr>
      <w:tr w:rsidR="00C32483" w:rsidRPr="00C32483" w:rsidTr="00C324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tcBorders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Branche</w:t>
            </w:r>
          </w:p>
        </w:tc>
        <w:tc>
          <w:tcPr>
            <w:tcW w:w="22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Art der Öfen</w:t>
            </w:r>
          </w:p>
        </w:tc>
        <w:tc>
          <w:tcPr>
            <w:tcW w:w="141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++</w:t>
            </w:r>
          </w:p>
        </w:tc>
        <w:tc>
          <w:tcPr>
            <w:tcW w:w="4253" w:type="dxa"/>
            <w:tcBorders>
              <w:lef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 xml:space="preserve">Vakuum, </w:t>
            </w:r>
            <w:r w:rsidRPr="00C32483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de-DE"/>
              </w:rPr>
              <w:t>Atmosphären</w:t>
            </w: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, Kontinuierliche</w:t>
            </w:r>
          </w:p>
        </w:tc>
      </w:tr>
      <w:tr w:rsidR="00C32483" w:rsidRPr="00C32483" w:rsidTr="00C32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Geografische Lage</w:t>
            </w:r>
          </w:p>
        </w:tc>
        <w:tc>
          <w:tcPr>
            <w:tcW w:w="141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++</w:t>
            </w:r>
          </w:p>
        </w:tc>
        <w:tc>
          <w:tcPr>
            <w:tcW w:w="4253" w:type="dxa"/>
            <w:tcBorders>
              <w:lef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de-DE"/>
              </w:rPr>
              <w:t>NRW</w:t>
            </w: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, Bayern, Berlin</w:t>
            </w:r>
          </w:p>
        </w:tc>
      </w:tr>
      <w:tr w:rsidR="00C32483" w:rsidRPr="00C32483" w:rsidTr="00C324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Ofenzuv</w:t>
            </w:r>
            <w:bookmarkStart w:id="0" w:name="_GoBack"/>
            <w:bookmarkEnd w:id="0"/>
            <w:r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erlässigkeit</w:t>
            </w:r>
          </w:p>
        </w:tc>
        <w:tc>
          <w:tcPr>
            <w:tcW w:w="141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+++</w:t>
            </w:r>
          </w:p>
        </w:tc>
        <w:tc>
          <w:tcPr>
            <w:tcW w:w="4253" w:type="dxa"/>
            <w:tcBorders>
              <w:lef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 xml:space="preserve">&gt; 50 %, </w:t>
            </w:r>
            <w:r w:rsidRPr="00C32483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de-DE"/>
              </w:rPr>
              <w:t>&gt; 80 %</w:t>
            </w: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, 100 %</w:t>
            </w:r>
          </w:p>
        </w:tc>
      </w:tr>
      <w:tr w:rsidR="00C32483" w:rsidRPr="00C32483" w:rsidTr="00C32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tcBorders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Technik</w:t>
            </w:r>
          </w:p>
        </w:tc>
        <w:tc>
          <w:tcPr>
            <w:tcW w:w="22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Sensorikkosten</w:t>
            </w:r>
            <w:proofErr w:type="spellEnd"/>
          </w:p>
        </w:tc>
        <w:tc>
          <w:tcPr>
            <w:tcW w:w="141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+++</w:t>
            </w:r>
          </w:p>
        </w:tc>
        <w:tc>
          <w:tcPr>
            <w:tcW w:w="4253" w:type="dxa"/>
            <w:tcBorders>
              <w:lef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de-DE"/>
              </w:rPr>
              <w:t>&lt; 25 T€</w:t>
            </w: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, &lt; 100 T€, &lt; 500 T€</w:t>
            </w:r>
          </w:p>
        </w:tc>
      </w:tr>
      <w:tr w:rsidR="00C32483" w:rsidRPr="00C32483" w:rsidTr="00C324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Datenanalyse</w:t>
            </w:r>
          </w:p>
        </w:tc>
        <w:tc>
          <w:tcPr>
            <w:tcW w:w="141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+</w:t>
            </w:r>
          </w:p>
        </w:tc>
        <w:tc>
          <w:tcPr>
            <w:tcW w:w="4253" w:type="dxa"/>
            <w:tcBorders>
              <w:lef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 xml:space="preserve">Eigenentwicklung, Käuflich, </w:t>
            </w:r>
            <w:r w:rsidRPr="00C32483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de-DE"/>
              </w:rPr>
              <w:t>Open-Source</w:t>
            </w:r>
          </w:p>
        </w:tc>
      </w:tr>
      <w:tr w:rsidR="00C32483" w:rsidRPr="00C32483" w:rsidTr="00C32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  <w:tcBorders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rPr>
                <w:rFonts w:eastAsia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268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Datenhaltung</w:t>
            </w:r>
          </w:p>
        </w:tc>
        <w:tc>
          <w:tcPr>
            <w:tcW w:w="1417" w:type="dxa"/>
            <w:tcBorders>
              <w:left w:val="single" w:sz="4" w:space="0" w:color="4F81BD" w:themeColor="accent1"/>
              <w:righ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++</w:t>
            </w:r>
          </w:p>
        </w:tc>
        <w:tc>
          <w:tcPr>
            <w:tcW w:w="4253" w:type="dxa"/>
            <w:tcBorders>
              <w:left w:val="single" w:sz="4" w:space="0" w:color="4F81BD" w:themeColor="accent1"/>
            </w:tcBorders>
            <w:hideMark/>
          </w:tcPr>
          <w:p w:rsidR="00C32483" w:rsidRPr="00C32483" w:rsidRDefault="00C32483" w:rsidP="00C324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4"/>
                <w:szCs w:val="24"/>
                <w:lang w:eastAsia="de-DE"/>
              </w:rPr>
            </w:pP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 xml:space="preserve">beim Kunden, </w:t>
            </w:r>
            <w:r w:rsidRPr="00C32483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de-DE"/>
              </w:rPr>
              <w:t>beim Hersteller</w:t>
            </w:r>
            <w:r w:rsidRPr="00C32483">
              <w:rPr>
                <w:rFonts w:eastAsia="Times New Roman" w:cs="Arial"/>
                <w:color w:val="000000"/>
                <w:sz w:val="24"/>
                <w:szCs w:val="24"/>
                <w:lang w:eastAsia="de-DE"/>
              </w:rPr>
              <w:t>, Cloud</w:t>
            </w:r>
          </w:p>
        </w:tc>
      </w:tr>
    </w:tbl>
    <w:p w:rsidR="00E55AF5" w:rsidRPr="00C32483" w:rsidRDefault="00E55AF5">
      <w:pPr>
        <w:rPr>
          <w:sz w:val="24"/>
          <w:szCs w:val="24"/>
        </w:rPr>
      </w:pPr>
    </w:p>
    <w:sectPr w:rsidR="00E55AF5" w:rsidRPr="00C32483" w:rsidSect="00C32483">
      <w:pgSz w:w="11906" w:h="16838" w:code="32767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483"/>
    <w:rsid w:val="003F59B8"/>
    <w:rsid w:val="00B51435"/>
    <w:rsid w:val="00C32483"/>
    <w:rsid w:val="00E5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32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MittlereSchattierung2-Akzent1">
    <w:name w:val="Medium Shading 2 Accent 1"/>
    <w:basedOn w:val="NormaleTabelle"/>
    <w:uiPriority w:val="64"/>
    <w:rsid w:val="00C324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3248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FarbigeSchattierung-Akzent1">
    <w:name w:val="Colorful Shading Accent 1"/>
    <w:basedOn w:val="NormaleTabelle"/>
    <w:uiPriority w:val="71"/>
    <w:rsid w:val="00C324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32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MittlereSchattierung2-Akzent1">
    <w:name w:val="Medium Shading 2 Accent 1"/>
    <w:basedOn w:val="NormaleTabelle"/>
    <w:uiPriority w:val="64"/>
    <w:rsid w:val="00C324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3248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FarbigeSchattierung-Akzent1">
    <w:name w:val="Colorful Shading Accent 1"/>
    <w:basedOn w:val="NormaleTabelle"/>
    <w:uiPriority w:val="71"/>
    <w:rsid w:val="00C324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2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3</cp:revision>
  <cp:lastPrinted>2016-01-08T09:40:00Z</cp:lastPrinted>
  <dcterms:created xsi:type="dcterms:W3CDTF">2016-01-08T09:31:00Z</dcterms:created>
  <dcterms:modified xsi:type="dcterms:W3CDTF">2016-01-08T10:29:00Z</dcterms:modified>
</cp:coreProperties>
</file>