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963A4" w14:textId="46A946CC" w:rsidR="00091205" w:rsidRDefault="00091205" w:rsidP="00091205">
      <w:pPr>
        <w:rPr>
          <w:b/>
          <w:bCs/>
        </w:rPr>
      </w:pPr>
      <w:r>
        <w:rPr>
          <w:b/>
          <w:bCs/>
        </w:rPr>
        <w:t>CHEM</w:t>
      </w:r>
      <w:r>
        <w:rPr>
          <w:b/>
          <w:bCs/>
        </w:rPr>
        <w:t xml:space="preserve">ENG 277 </w:t>
      </w:r>
      <w:r>
        <w:rPr>
          <w:b/>
          <w:bCs/>
        </w:rPr>
        <w:t>Final Project Proposal</w:t>
      </w:r>
    </w:p>
    <w:p w14:paraId="5E705FEB" w14:textId="670DD5FA" w:rsidR="00091205" w:rsidRDefault="00091205" w:rsidP="00091205">
      <w:r>
        <w:t>Wylie Kau</w:t>
      </w:r>
    </w:p>
    <w:p w14:paraId="211C2B11" w14:textId="033CE52F" w:rsidR="00261304" w:rsidRDefault="00091205">
      <w:r>
        <w:t>1/28/2025</w:t>
      </w:r>
    </w:p>
    <w:p w14:paraId="3C59CF44" w14:textId="77777777" w:rsidR="00091205" w:rsidRDefault="00091205"/>
    <w:p w14:paraId="03686C48" w14:textId="77777777" w:rsidR="00FF08A5" w:rsidRDefault="00FF08A5" w:rsidP="00FF08A5">
      <w:pPr>
        <w:jc w:val="both"/>
      </w:pPr>
      <w:r>
        <w:rPr>
          <w:b/>
          <w:bCs/>
          <w:u w:val="single"/>
        </w:rPr>
        <w:t xml:space="preserve">Description: </w:t>
      </w:r>
      <w:r>
        <w:t>Ligand functionalized polymeric membranes (LFMs) are a promising material class that can enable ion-specific separations that are otherwise unachievable using commercially available membranes (e.g. Li</w:t>
      </w:r>
      <w:r>
        <w:rPr>
          <w:vertAlign w:val="superscript"/>
        </w:rPr>
        <w:t>+</w:t>
      </w:r>
      <w:r>
        <w:t>/Na</w:t>
      </w:r>
      <w:r>
        <w:rPr>
          <w:vertAlign w:val="superscript"/>
        </w:rPr>
        <w:t>+</w:t>
      </w:r>
      <w:r>
        <w:t>). The Tarpeh Lab has demonstrated 4-vinylpyridine functionalized LFMs for use in separation of Li</w:t>
      </w:r>
      <w:r>
        <w:rPr>
          <w:vertAlign w:val="superscript"/>
        </w:rPr>
        <w:t>+</w:t>
      </w:r>
      <w:r>
        <w:t xml:space="preserve"> from Ni</w:t>
      </w:r>
      <w:r>
        <w:rPr>
          <w:vertAlign w:val="superscript"/>
        </w:rPr>
        <w:t>2+</w:t>
      </w:r>
      <w:r>
        <w:t xml:space="preserve"> in aqueous feedstocks, in which a stronger Ni</w:t>
      </w:r>
      <w:r>
        <w:rPr>
          <w:vertAlign w:val="superscript"/>
        </w:rPr>
        <w:t>2+</w:t>
      </w:r>
      <w:r>
        <w:t>-4-vinylpyridine interaction strength is hypothesized to decrease Ni</w:t>
      </w:r>
      <w:r>
        <w:rPr>
          <w:vertAlign w:val="superscript"/>
        </w:rPr>
        <w:t>2+</w:t>
      </w:r>
      <w:r>
        <w:t xml:space="preserve"> diffusivity and ion-permeability relative to Li</w:t>
      </w:r>
      <w:r>
        <w:rPr>
          <w:vertAlign w:val="superscript"/>
        </w:rPr>
        <w:t>+</w:t>
      </w:r>
      <w:r>
        <w:t xml:space="preserve"> ion-permeability.</w:t>
      </w:r>
      <w:r>
        <w:fldChar w:fldCharType="begin"/>
      </w:r>
      <w:r>
        <w:instrText xml:space="preserve"> ADDIN ZOTERO_ITEM CSL_CITATION {"citationID":"9HxLSU76","properties":{"formattedCitation":"\\super 1\\nosupersub{}","plainCitation":"1","noteIndex":0},"citationItems":[{"id":641,"uris":["http://zotero.org/users/12481804/items/SJ7IMARV"],"itemData":{"id":641,"type":"article-journal","container-title":"Journal of The Electrochemical Society","DOI":"10.1149/2.0981913jes","ISSN":"0013-4651, 1945-7111","issue":"13","journalAbbreviation":"J. Electrochem. Soc.","language":"en","page":"A3031-A3044","source":"DOI.org (Crossref)","title":"A Wide Range of Testing Results on an Excellent Lithium-Ion Cell Chemistry to be used as Benchmarks for New Battery Technologies","volume":"166","author":[{"family":"Harlow","given":"Jessie E."},{"family":"Ma","given":"Xiaowei"},{"family":"Li","given":"Jing"},{"family":"Logan","given":"Eric"},{"family":"Liu","given":"Yulong"},{"family":"Zhang","given":"Ning"},{"family":"Ma","given":"Lin"},{"family":"Glazier","given":"Stephen L."},{"family":"Cormier","given":"Marc M. E."},{"family":"Genovese","given":"Matthew"},{"family":"Buteau","given":"Samuel"},{"family":"Cameron","given":"Andrew"},{"family":"Stark","given":"Jamie E."},{"family":"Dahn","given":"J. R."}],"issued":{"date-parts":[["2019"]]}}}],"schema":"https://github.com/citation-style-language/schema/raw/master/csl-citation.json"} </w:instrText>
      </w:r>
      <w:r>
        <w:fldChar w:fldCharType="separate"/>
      </w:r>
      <w:r w:rsidRPr="0081199A">
        <w:rPr>
          <w:rFonts w:cs="Calibri"/>
          <w:kern w:val="0"/>
          <w:vertAlign w:val="superscript"/>
        </w:rPr>
        <w:t>1</w:t>
      </w:r>
      <w:r>
        <w:fldChar w:fldCharType="end"/>
      </w:r>
      <w:r>
        <w:fldChar w:fldCharType="begin"/>
      </w:r>
      <w:r>
        <w:instrText xml:space="preserve"> ADDIN ZOTERO_ITEM CSL_CITATION {"citationID":"KGeXDmn0","properties":{"formattedCitation":"\\super 2\\nosupersub{}","plainCitation":"2","noteIndex":0},"citationItems":[{"id":1986,"uris":["http://zotero.org/users/12481804/items/8FRJE2RA"],"itemData":{"id":1986,"type":"article","abstract":"Ion-selective membranes could enable sustainable critical material separations processes because of their scalability, low energy consumption, and low chemical input. The effects of membrane water content and incorporation of ion-coordinating ligands have been studied via computation and experiment to develop structure-performance relationships. However, few studies systematically investigate the effects of membrane composition beyond monomer chemical identity or the balance of driving forces such as diffusion and electromigration. Here we synthesized a library of poly(ethylene glycol) acrylate membranes with varying percentages of ion-coordinating monomers (acrylic acid, 4-vinylpyridine) to investigate the influence of ligand content on ion permeabilities and permselectivities. Trends in membrane performance under electrodialysis and diffusion were compared to elucidate the relative effects of separation driving forces and to inform electrochemical operation. We observed order-of-magnitude permeability reductions with ligand content for ions capable of multidentate ligand complexation, especially for nickel in the pyridine-containing membranes. As a result, lithium/nickel permselectivity gradually increased by a factor of 1.65× from 10 to 50 mol% pyridine membranes. We further demonstrated simultaneous improvements in lithium/nickel separation productivity (1.75×) and selectivity (2.99×) with increasing electric potential driving force. Ultimately, results from this study provide design insights for ligand-functionalized membranes in electrified ion-ion separations processes.","DOI":"10.26434/chemrxiv-2024-z6t01","language":"en","license":"https://creativecommons.org/licenses/by-nc-nd/4.0/","source":"Chemistry","title":"Ligand content and driving force effects on ion-ion permselectivity in ligand-functionalized membranes","URL":"https://chemrxiv.org/engage/chemrxiv/article-details/66b692a55101a2ffa8c3f559","author":[{"family":"Abels","given":"Kristen"},{"family":"Botelho Junior","given":"Amilton Barbosa"},{"family":"Chen","given":"Xi"},{"family":"Tarpeh","given":"William"}],"accessed":{"date-parts":[["2024",9,10]]},"issued":{"date-parts":[["2024",8,12]]}}}],"schema":"https://github.com/citation-style-language/schema/raw/master/csl-citation.json"} </w:instrText>
      </w:r>
      <w:r>
        <w:fldChar w:fldCharType="separate"/>
      </w:r>
      <w:r w:rsidRPr="0081199A">
        <w:rPr>
          <w:rFonts w:cs="Calibri"/>
          <w:kern w:val="0"/>
          <w:vertAlign w:val="superscript"/>
        </w:rPr>
        <w:t>2</w:t>
      </w:r>
      <w:r>
        <w:fldChar w:fldCharType="end"/>
      </w:r>
      <w:r>
        <w:t xml:space="preserve"> A novel application for ion-selective LFMs is the purification of copper sulfate solutions produced from the acidic dissolution of copper scrap and electronics waste, prior to electrowinning. In this application, we hypothesize it is desirable to synthesize LFMs with ligands chosen to hinder Cu</w:t>
      </w:r>
      <w:r>
        <w:rPr>
          <w:vertAlign w:val="superscript"/>
        </w:rPr>
        <w:t>2+</w:t>
      </w:r>
      <w:r>
        <w:t xml:space="preserve"> ion transport while facilitating transport of contaminants, such as Zn</w:t>
      </w:r>
      <w:r>
        <w:rPr>
          <w:vertAlign w:val="superscript"/>
        </w:rPr>
        <w:t>2+</w:t>
      </w:r>
      <w:r>
        <w:t>. It is therefore desirable to be able to predict the strength of interaction between an ion and an organic ligand to evaluate the practicality of the ligand to achieve a desired separation.</w:t>
      </w:r>
    </w:p>
    <w:p w14:paraId="580EBB94" w14:textId="69F9E305" w:rsidR="00FF08A5" w:rsidRDefault="00FF08A5" w:rsidP="00FF08A5">
      <w:pPr>
        <w:jc w:val="both"/>
        <w:rPr>
          <w:rFonts w:eastAsiaTheme="minorEastAsia"/>
        </w:rPr>
      </w:pPr>
      <w:r>
        <w:tab/>
        <w:t xml:space="preserve">The </w:t>
      </w:r>
      <w:r w:rsidRPr="00AB5201">
        <w:t>NIST SRD 46. Critically Selected Stability Constants of Metal Complexes</w:t>
      </w:r>
      <w:r>
        <w:fldChar w:fldCharType="begin"/>
      </w:r>
      <w:r>
        <w:instrText xml:space="preserve"> ADDIN ZOTERO_ITEM CSL_CITATION {"citationID":"msvjv4mG","properties":{"formattedCitation":"\\super 3\\nosupersub{}","plainCitation":"3","noteIndex":0},"citationItems":[{"id":2115,"uris":["http://zotero.org/users/12481804/items/SL93NYDE"],"itemData":{"id":2115,"type":"dataset","abstract":"This version of NIST Standard Reference Database 46 is a major enhancement to this widely used database which provides comprehensive coverage of interactions for aqueous systems of organic and inorganic ligands with protons and various metal ions and is based on the six-volume Critical Stability Constants by Martell and Smith. The new version contains 225 additional ligands, new data, data printing, rapid bibliography searching and more streamlined commands. New literature has resulted in revision and upgrading of 30% of previous data. Entire contents are critically selected for accuracy and consistency.","DOI":"10.18434/M32154","language":"en","license":"NIST Licensing","publisher":"National Institute of Standards and Technology","source":"DOI.org (Datacite)","title":"NIST SRD 46. Critically Selected Stability Constants of Metal Complexes: Version 8.0 for Windows","title-short":"NIST SRD 46. Critically Selected Stability Constants of Metal Complexes","URL":"https://data.nist.gov/od/id/mds2-2154","author":[{"family":"Burgess","given":"Donald R."}],"accessed":{"date-parts":[["2024",9,30]]},"issued":{"date-parts":[["2020"]]}}}],"schema":"https://github.com/citation-style-language/schema/raw/master/csl-citation.json"} </w:instrText>
      </w:r>
      <w:r>
        <w:fldChar w:fldCharType="separate"/>
      </w:r>
      <w:r w:rsidRPr="0081199A">
        <w:rPr>
          <w:rFonts w:cs="Calibri"/>
          <w:kern w:val="0"/>
          <w:vertAlign w:val="superscript"/>
        </w:rPr>
        <w:t>3</w:t>
      </w:r>
      <w:r>
        <w:fldChar w:fldCharType="end"/>
      </w:r>
      <w:r>
        <w:t xml:space="preserve"> dataset includes a vast number of recorded K-values for the stability of ion-ligand complexes in aqueous solution (Figure 1</w:t>
      </w:r>
      <w:r w:rsidR="00053F0F">
        <w:t>, left</w:t>
      </w:r>
      <w:r>
        <w:t>). We propose investigation of the NIST SRD 46 dataset for the prediction of ion-ligand interaction strength (</w:t>
      </w:r>
      <m:oMath>
        <m:r>
          <w:rPr>
            <w:rFonts w:ascii="Cambria Math" w:hAnsi="Cambria Math"/>
          </w:rPr>
          <m:t>∆G</m:t>
        </m:r>
      </m:oMath>
      <w:r>
        <w:rPr>
          <w:rFonts w:eastAsiaTheme="minorEastAsia"/>
        </w:rPr>
        <w:t>) based on ligand structure and ion identity. If successful, a predictive model could be generalized to the investigation of unobserved and novel ligand candidates for incorporation into LFMs that exhibit favorable or unfavorable interactions with application-relevant ions.</w:t>
      </w:r>
      <w:r w:rsidR="001D011C">
        <w:rPr>
          <w:rFonts w:eastAsiaTheme="minorEastAsia"/>
        </w:rPr>
        <w:t xml:space="preserve"> </w:t>
      </w:r>
    </w:p>
    <w:p w14:paraId="483F0A29" w14:textId="77777777" w:rsidR="00FF08A5" w:rsidRDefault="00FF08A5" w:rsidP="00FF08A5">
      <w:pPr>
        <w:jc w:val="both"/>
      </w:pPr>
    </w:p>
    <w:tbl>
      <w:tblPr>
        <w:tblStyle w:val="TableGrid"/>
        <w:tblW w:w="0" w:type="auto"/>
        <w:tblLook w:val="04A0" w:firstRow="1" w:lastRow="0" w:firstColumn="1" w:lastColumn="0" w:noHBand="0" w:noVBand="1"/>
      </w:tblPr>
      <w:tblGrid>
        <w:gridCol w:w="4496"/>
        <w:gridCol w:w="4496"/>
      </w:tblGrid>
      <w:tr w:rsidR="00053F0F" w14:paraId="7DC39108" w14:textId="4A2B96DB" w:rsidTr="00053F0F">
        <w:tc>
          <w:tcPr>
            <w:tcW w:w="4496" w:type="dxa"/>
          </w:tcPr>
          <w:p w14:paraId="3575A83A" w14:textId="3BEC3AC1" w:rsidR="00053F0F" w:rsidRDefault="00053F0F" w:rsidP="001611F2">
            <w:pPr>
              <w:jc w:val="center"/>
            </w:pPr>
            <w:r w:rsidRPr="00D22D3B">
              <w:drawing>
                <wp:inline distT="0" distB="0" distL="0" distR="0" wp14:anchorId="7096D21B" wp14:editId="65074766">
                  <wp:extent cx="2716430" cy="2076489"/>
                  <wp:effectExtent l="0" t="0" r="1905" b="0"/>
                  <wp:docPr id="13" name="Content Placeholder 6">
                    <a:extLst xmlns:a="http://schemas.openxmlformats.org/drawingml/2006/main">
                      <a:ext uri="{FF2B5EF4-FFF2-40B4-BE49-F238E27FC236}">
                        <a16:creationId xmlns:a16="http://schemas.microsoft.com/office/drawing/2014/main" id="{9516E1B6-2BF4-6EB7-91F2-653FF1783F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tent Placeholder 6">
                            <a:extLst>
                              <a:ext uri="{FF2B5EF4-FFF2-40B4-BE49-F238E27FC236}">
                                <a16:creationId xmlns:a16="http://schemas.microsoft.com/office/drawing/2014/main" id="{9516E1B6-2BF4-6EB7-91F2-653FF1783FD2}"/>
                              </a:ext>
                            </a:extLst>
                          </pic:cNvPr>
                          <pic:cNvPicPr>
                            <a:picLocks noChangeAspect="1"/>
                          </pic:cNvPicPr>
                        </pic:nvPicPr>
                        <pic:blipFill>
                          <a:blip r:embed="rId4"/>
                          <a:srcRect l="-100" r="50100"/>
                          <a:stretch/>
                        </pic:blipFill>
                        <pic:spPr>
                          <a:xfrm>
                            <a:off x="0" y="0"/>
                            <a:ext cx="2716430" cy="2076489"/>
                          </a:xfrm>
                          <a:prstGeom prst="rect">
                            <a:avLst/>
                          </a:prstGeom>
                        </pic:spPr>
                      </pic:pic>
                    </a:graphicData>
                  </a:graphic>
                </wp:inline>
              </w:drawing>
            </w:r>
          </w:p>
        </w:tc>
        <w:tc>
          <w:tcPr>
            <w:tcW w:w="4496" w:type="dxa"/>
          </w:tcPr>
          <w:p w14:paraId="05473923" w14:textId="64E84135" w:rsidR="00053F0F" w:rsidRPr="00D22D3B" w:rsidRDefault="00053F0F" w:rsidP="001611F2">
            <w:pPr>
              <w:jc w:val="center"/>
            </w:pPr>
            <w:r w:rsidRPr="00053F0F">
              <w:drawing>
                <wp:inline distT="0" distB="0" distL="0" distR="0" wp14:anchorId="3D1A6B2A" wp14:editId="304118CC">
                  <wp:extent cx="2579914" cy="2193411"/>
                  <wp:effectExtent l="0" t="0" r="0" b="3810"/>
                  <wp:docPr id="11" name="Content Placeholder 5">
                    <a:extLst xmlns:a="http://schemas.openxmlformats.org/drawingml/2006/main">
                      <a:ext uri="{FF2B5EF4-FFF2-40B4-BE49-F238E27FC236}">
                        <a16:creationId xmlns:a16="http://schemas.microsoft.com/office/drawing/2014/main" id="{14B6C26E-54EC-EF24-F958-07D62C401C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nt Placeholder 5">
                            <a:extLst>
                              <a:ext uri="{FF2B5EF4-FFF2-40B4-BE49-F238E27FC236}">
                                <a16:creationId xmlns:a16="http://schemas.microsoft.com/office/drawing/2014/main" id="{14B6C26E-54EC-EF24-F958-07D62C401C2C}"/>
                              </a:ext>
                            </a:extLst>
                          </pic:cNvPr>
                          <pic:cNvPicPr>
                            <a:picLocks noChangeAspect="1"/>
                          </pic:cNvPicPr>
                        </pic:nvPicPr>
                        <pic:blipFill>
                          <a:blip r:embed="rId5"/>
                          <a:stretch/>
                        </pic:blipFill>
                        <pic:spPr>
                          <a:xfrm>
                            <a:off x="0" y="0"/>
                            <a:ext cx="2610432" cy="2219357"/>
                          </a:xfrm>
                          <a:prstGeom prst="rect">
                            <a:avLst/>
                          </a:prstGeom>
                        </pic:spPr>
                      </pic:pic>
                    </a:graphicData>
                  </a:graphic>
                </wp:inline>
              </w:drawing>
            </w:r>
          </w:p>
        </w:tc>
      </w:tr>
      <w:tr w:rsidR="00053F0F" w14:paraId="5BCF939F" w14:textId="1867A492" w:rsidTr="00CC5A97">
        <w:tc>
          <w:tcPr>
            <w:tcW w:w="8992" w:type="dxa"/>
            <w:gridSpan w:val="2"/>
          </w:tcPr>
          <w:p w14:paraId="5B2138FF" w14:textId="5F7DA55F" w:rsidR="00053F0F" w:rsidRDefault="00053F0F" w:rsidP="001611F2">
            <w:pPr>
              <w:rPr>
                <w:b/>
                <w:bCs/>
              </w:rPr>
            </w:pPr>
            <w:r>
              <w:rPr>
                <w:b/>
                <w:bCs/>
              </w:rPr>
              <w:t>Figure 1</w:t>
            </w:r>
            <w:r>
              <w:t xml:space="preserve">. </w:t>
            </w:r>
            <w:r>
              <w:t xml:space="preserve">(left) </w:t>
            </w:r>
            <w:r>
              <w:t xml:space="preserve">Violin plots for </w:t>
            </w:r>
            <m:oMath>
              <m:r>
                <w:rPr>
                  <w:rFonts w:ascii="Cambria Math" w:hAnsi="Cambria Math"/>
                </w:rPr>
                <m:t>∆G</m:t>
              </m:r>
            </m:oMath>
            <w:r>
              <w:rPr>
                <w:rFonts w:eastAsiaTheme="minorEastAsia"/>
              </w:rPr>
              <w:t xml:space="preserve"> values [kcal/mol] calculated from the equilibrium constant, K, for reported aqeuous ion-ligand complexes in a [ML]/[M][L] equilibria</w:t>
            </w:r>
            <w:r>
              <w:rPr>
                <w:rFonts w:eastAsiaTheme="minorEastAsia"/>
              </w:rPr>
              <w:t xml:space="preserve"> for monovalent cations. (right) </w:t>
            </w:r>
          </w:p>
        </w:tc>
      </w:tr>
    </w:tbl>
    <w:p w14:paraId="5FFBDA40" w14:textId="77777777" w:rsidR="00FF08A5" w:rsidRDefault="00FF08A5" w:rsidP="00FF08A5">
      <w:pPr>
        <w:rPr>
          <w:b/>
          <w:bCs/>
          <w:u w:val="single"/>
        </w:rPr>
      </w:pPr>
    </w:p>
    <w:p w14:paraId="3116385D" w14:textId="0A0A08CC" w:rsidR="00B30562" w:rsidRDefault="00B30562" w:rsidP="00B30562">
      <w:pPr>
        <w:jc w:val="both"/>
        <w:rPr>
          <w:rFonts w:eastAsiaTheme="minorEastAsia"/>
        </w:rPr>
      </w:pPr>
      <w:r>
        <w:rPr>
          <w:rFonts w:eastAsiaTheme="minorEastAsia"/>
        </w:rPr>
        <w:tab/>
        <w:t>To-date</w:t>
      </w:r>
      <w:r w:rsidR="00CB284E">
        <w:rPr>
          <w:rFonts w:eastAsiaTheme="minorEastAsia"/>
        </w:rPr>
        <w:t xml:space="preserve"> in a previous class project</w:t>
      </w:r>
      <w:r>
        <w:rPr>
          <w:rFonts w:eastAsiaTheme="minorEastAsia"/>
        </w:rPr>
        <w:t xml:space="preserve">, a RMSE predictive </w:t>
      </w:r>
      <w:r>
        <w:rPr>
          <w:rFonts w:eastAsiaTheme="minorEastAsia"/>
        </w:rPr>
        <w:t xml:space="preserve">test </w:t>
      </w:r>
      <w:r>
        <w:rPr>
          <w:rFonts w:eastAsiaTheme="minorEastAsia"/>
        </w:rPr>
        <w:t xml:space="preserve">error of 0.22 kcal/mol has been achieved </w:t>
      </w:r>
      <w:r>
        <w:rPr>
          <w:rFonts w:eastAsiaTheme="minorEastAsia"/>
        </w:rPr>
        <w:t>employing an XGBoost Regression model trained on a feature set consisting of RDKit Lipinksi package molecular encoding features</w:t>
      </w:r>
      <w:r w:rsidR="00520E86">
        <w:rPr>
          <w:rFonts w:eastAsiaTheme="minorEastAsia"/>
        </w:rPr>
        <w:t xml:space="preserve"> for each ligand</w:t>
      </w:r>
      <w:r w:rsidR="00EB40FD">
        <w:rPr>
          <w:rFonts w:eastAsiaTheme="minorEastAsia"/>
        </w:rPr>
        <w:t xml:space="preserve"> and ion/electrophile quantitative descriptors</w:t>
      </w:r>
      <w:r w:rsidR="00FB0B4A">
        <w:rPr>
          <w:rFonts w:eastAsiaTheme="minorEastAsia"/>
        </w:rPr>
        <w:t xml:space="preserve"> (Figure 1, right)</w:t>
      </w:r>
      <w:r w:rsidR="00EB40FD">
        <w:rPr>
          <w:rFonts w:eastAsiaTheme="minorEastAsia"/>
        </w:rPr>
        <w:t>.</w:t>
      </w:r>
      <w:r w:rsidR="00FB0B4A">
        <w:rPr>
          <w:rFonts w:eastAsiaTheme="minorEastAsia"/>
        </w:rPr>
        <w:t xml:space="preserve"> The trained model has been used to interpolate holes in the NIST SRD </w:t>
      </w:r>
      <w:r w:rsidR="00FB0B4A">
        <w:rPr>
          <w:rFonts w:eastAsiaTheme="minorEastAsia"/>
        </w:rPr>
        <w:lastRenderedPageBreak/>
        <w:t>46 dataset and allow for dG prediction between all ions of interest (in the training data)</w:t>
      </w:r>
      <w:r w:rsidR="00264766">
        <w:rPr>
          <w:rFonts w:eastAsiaTheme="minorEastAsia"/>
        </w:rPr>
        <w:t xml:space="preserve"> (Figure 2, left)</w:t>
      </w:r>
      <w:r w:rsidR="00FB0B4A">
        <w:rPr>
          <w:rFonts w:eastAsiaTheme="minorEastAsia"/>
        </w:rPr>
        <w:t xml:space="preserve">. As experimental validation, </w:t>
      </w:r>
      <w:r w:rsidR="00EB40FD">
        <w:rPr>
          <w:rFonts w:eastAsiaTheme="minorEastAsia"/>
        </w:rPr>
        <w:t xml:space="preserve"> I have performed</w:t>
      </w:r>
      <w:r w:rsidR="00F76F27">
        <w:rPr>
          <w:rFonts w:eastAsiaTheme="minorEastAsia"/>
        </w:rPr>
        <w:t xml:space="preserve"> sorption experiments employing polymeric materials that are functionalized with the ligand of interest, in this first example, pyridine. A Linear Free Energy </w:t>
      </w:r>
      <w:r w:rsidR="00264766">
        <w:rPr>
          <w:rFonts w:eastAsiaTheme="minorEastAsia"/>
        </w:rPr>
        <w:t>Relationship (LFER) exists between the dG observed/predicted within the interpolated NIST Dataset and that we can measure experimentally in the sorption experiments</w:t>
      </w:r>
      <w:r w:rsidR="002657FF">
        <w:rPr>
          <w:rFonts w:eastAsiaTheme="minorEastAsia"/>
        </w:rPr>
        <w:t xml:space="preserve"> (Figure 2, right). </w:t>
      </w:r>
      <w:r w:rsidR="000A4AF5">
        <w:rPr>
          <w:rFonts w:eastAsiaTheme="minorEastAsia"/>
        </w:rPr>
        <w:t xml:space="preserve">These results demonstrate the promise of </w:t>
      </w:r>
      <w:r w:rsidR="006B571B">
        <w:rPr>
          <w:rFonts w:eastAsiaTheme="minorEastAsia"/>
        </w:rPr>
        <w:t>rational, ion-selective polymeric material design based on the comparison of ion-ligand dG values (as in the initial dataset).</w:t>
      </w:r>
    </w:p>
    <w:tbl>
      <w:tblPr>
        <w:tblStyle w:val="TableGrid"/>
        <w:tblW w:w="0" w:type="auto"/>
        <w:tblLook w:val="04A0" w:firstRow="1" w:lastRow="0" w:firstColumn="1" w:lastColumn="0" w:noHBand="0" w:noVBand="1"/>
      </w:tblPr>
      <w:tblGrid>
        <w:gridCol w:w="5694"/>
        <w:gridCol w:w="3656"/>
      </w:tblGrid>
      <w:tr w:rsidR="003356D9" w14:paraId="58A47C13" w14:textId="77777777" w:rsidTr="003356D9">
        <w:tc>
          <w:tcPr>
            <w:tcW w:w="6655" w:type="dxa"/>
          </w:tcPr>
          <w:p w14:paraId="138D62E4" w14:textId="668FA457" w:rsidR="003356D9" w:rsidRDefault="003356D9" w:rsidP="00EB40FD">
            <w:pPr>
              <w:jc w:val="center"/>
            </w:pPr>
            <w:r w:rsidRPr="003356D9">
              <w:drawing>
                <wp:inline distT="0" distB="0" distL="0" distR="0" wp14:anchorId="2FA0975E" wp14:editId="2E673E70">
                  <wp:extent cx="3403892" cy="1785257"/>
                  <wp:effectExtent l="0" t="0" r="0" b="5715"/>
                  <wp:docPr id="9" name="Picture 8">
                    <a:extLst xmlns:a="http://schemas.openxmlformats.org/drawingml/2006/main">
                      <a:ext uri="{FF2B5EF4-FFF2-40B4-BE49-F238E27FC236}">
                        <a16:creationId xmlns:a16="http://schemas.microsoft.com/office/drawing/2014/main" id="{DFBC3D31-8C03-C0D4-0D54-777EF45066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DFBC3D31-8C03-C0D4-0D54-777EF4506627}"/>
                              </a:ext>
                            </a:extLst>
                          </pic:cNvPr>
                          <pic:cNvPicPr>
                            <a:picLocks noChangeAspect="1"/>
                          </pic:cNvPicPr>
                        </pic:nvPicPr>
                        <pic:blipFill>
                          <a:blip r:embed="rId6"/>
                          <a:stretch>
                            <a:fillRect/>
                          </a:stretch>
                        </pic:blipFill>
                        <pic:spPr>
                          <a:xfrm>
                            <a:off x="0" y="0"/>
                            <a:ext cx="3571641" cy="1873237"/>
                          </a:xfrm>
                          <a:prstGeom prst="rect">
                            <a:avLst/>
                          </a:prstGeom>
                        </pic:spPr>
                      </pic:pic>
                    </a:graphicData>
                  </a:graphic>
                </wp:inline>
              </w:drawing>
            </w:r>
          </w:p>
        </w:tc>
        <w:tc>
          <w:tcPr>
            <w:tcW w:w="2695" w:type="dxa"/>
          </w:tcPr>
          <w:p w14:paraId="586C9532" w14:textId="52C19CC0" w:rsidR="003356D9" w:rsidRDefault="003356D9" w:rsidP="00EB40FD">
            <w:pPr>
              <w:jc w:val="center"/>
            </w:pPr>
            <w:r w:rsidRPr="00EB40FD">
              <w:drawing>
                <wp:inline distT="0" distB="0" distL="0" distR="0" wp14:anchorId="68A7430C" wp14:editId="63ABB97A">
                  <wp:extent cx="2181028" cy="2090057"/>
                  <wp:effectExtent l="0" t="0" r="3810" b="5715"/>
                  <wp:docPr id="15" name="Picture 14">
                    <a:extLst xmlns:a="http://schemas.openxmlformats.org/drawingml/2006/main">
                      <a:ext uri="{FF2B5EF4-FFF2-40B4-BE49-F238E27FC236}">
                        <a16:creationId xmlns:a16="http://schemas.microsoft.com/office/drawing/2014/main" id="{364F51C5-FEBF-6C11-F4E9-B04B614F70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364F51C5-FEBF-6C11-F4E9-B04B614F7096}"/>
                              </a:ext>
                            </a:extLst>
                          </pic:cNvPr>
                          <pic:cNvPicPr>
                            <a:picLocks noChangeAspect="1"/>
                          </pic:cNvPicPr>
                        </pic:nvPicPr>
                        <pic:blipFill>
                          <a:blip r:embed="rId7"/>
                          <a:srcRect/>
                          <a:stretch/>
                        </pic:blipFill>
                        <pic:spPr>
                          <a:xfrm>
                            <a:off x="0" y="0"/>
                            <a:ext cx="2228464" cy="2135514"/>
                          </a:xfrm>
                          <a:prstGeom prst="rect">
                            <a:avLst/>
                          </a:prstGeom>
                        </pic:spPr>
                      </pic:pic>
                    </a:graphicData>
                  </a:graphic>
                </wp:inline>
              </w:drawing>
            </w:r>
          </w:p>
        </w:tc>
      </w:tr>
      <w:tr w:rsidR="00EB40FD" w14:paraId="5253412D" w14:textId="77777777" w:rsidTr="00EB40FD">
        <w:tc>
          <w:tcPr>
            <w:tcW w:w="9350" w:type="dxa"/>
            <w:gridSpan w:val="2"/>
          </w:tcPr>
          <w:p w14:paraId="3938C7BC" w14:textId="49A59A58" w:rsidR="00EB40FD" w:rsidRPr="009C016A" w:rsidRDefault="003E326E" w:rsidP="00B30562">
            <w:pPr>
              <w:jc w:val="both"/>
            </w:pPr>
            <w:r>
              <w:rPr>
                <w:b/>
                <w:bCs/>
              </w:rPr>
              <w:t xml:space="preserve">Figure 2. </w:t>
            </w:r>
            <w:r w:rsidR="009C016A">
              <w:t xml:space="preserve">(left) Model output. (Right) Linear Free Energy Relationship formed between observed. </w:t>
            </w:r>
          </w:p>
        </w:tc>
      </w:tr>
    </w:tbl>
    <w:p w14:paraId="2413D549" w14:textId="77777777" w:rsidR="00EB40FD" w:rsidRDefault="00EB40FD" w:rsidP="00B30562">
      <w:pPr>
        <w:jc w:val="both"/>
      </w:pPr>
    </w:p>
    <w:p w14:paraId="696E9957" w14:textId="059FAB07" w:rsidR="005B6DE1" w:rsidRDefault="005B6DE1" w:rsidP="00B30562">
      <w:pPr>
        <w:jc w:val="both"/>
      </w:pPr>
      <w:r>
        <w:tab/>
        <w:t xml:space="preserve">In this project specifically, I propose continuing to refine the model trained in the NIST SRD 46 dataset and used to interpolate missing observations for ion-ligand interaction dGs, with the main goal of reducing predictive error below 0.22 kcal/mol. I will investigate other model architectures, as well as additional molecular encodings, specifically molecular graphs to feed into graph neural networks. </w:t>
      </w:r>
      <w:r w:rsidR="00CB50CD">
        <w:t>A more accurate prediction of single ion-ligand dG will enable better, more robust LFERs to be formed and aid in ion-selective polymeric material design.</w:t>
      </w:r>
    </w:p>
    <w:p w14:paraId="5BF0C481" w14:textId="77777777" w:rsidR="00FF08A5" w:rsidRDefault="00FF08A5" w:rsidP="00FF08A5">
      <w:pPr>
        <w:rPr>
          <w:b/>
          <w:bCs/>
          <w:u w:val="single"/>
        </w:rPr>
      </w:pPr>
      <w:r>
        <w:rPr>
          <w:b/>
          <w:bCs/>
          <w:u w:val="single"/>
        </w:rPr>
        <w:br w:type="page"/>
      </w:r>
      <w:r>
        <w:rPr>
          <w:b/>
          <w:bCs/>
          <w:u w:val="single"/>
        </w:rPr>
        <w:lastRenderedPageBreak/>
        <w:t>Works Cited:</w:t>
      </w:r>
    </w:p>
    <w:p w14:paraId="3EAF8159" w14:textId="77777777" w:rsidR="00FF08A5" w:rsidRPr="0081199A" w:rsidRDefault="00FF08A5" w:rsidP="00FF08A5">
      <w:pPr>
        <w:pStyle w:val="Bibliography"/>
        <w:rPr>
          <w:rFonts w:cs="Calibri"/>
        </w:rPr>
      </w:pPr>
      <w:r>
        <w:fldChar w:fldCharType="begin"/>
      </w:r>
      <w:r>
        <w:instrText xml:space="preserve"> ADDIN ZOTERO_BIBL {"uncited":[],"omitted":[],"custom":[]} CSL_BIBLIOGRAPHY </w:instrText>
      </w:r>
      <w:r>
        <w:fldChar w:fldCharType="separate"/>
      </w:r>
      <w:r w:rsidRPr="0081199A">
        <w:rPr>
          <w:rFonts w:cs="Calibri"/>
        </w:rPr>
        <w:t>(1)</w:t>
      </w:r>
      <w:r w:rsidRPr="0081199A">
        <w:rPr>
          <w:rFonts w:cs="Calibri"/>
        </w:rPr>
        <w:tab/>
        <w:t xml:space="preserve">Harlow, J. E.; Ma, X.; Li, J.; Logan, E.; Liu, Y.; Zhang, N.; Ma, L.; Glazier, S. L.; Cormier, M. M. E.; Genovese, M.; Buteau, S.; Cameron, A.; Stark, J. E.; Dahn, J. R. A Wide Range of Testing Results on an Excellent Lithium-Ion Cell Chemistry to Be Used as Benchmarks for New Battery Technologies. </w:t>
      </w:r>
      <w:r w:rsidRPr="0081199A">
        <w:rPr>
          <w:rFonts w:cs="Calibri"/>
          <w:i/>
          <w:iCs/>
        </w:rPr>
        <w:t>J. Electrochem. Soc.</w:t>
      </w:r>
      <w:r w:rsidRPr="0081199A">
        <w:rPr>
          <w:rFonts w:cs="Calibri"/>
        </w:rPr>
        <w:t xml:space="preserve"> </w:t>
      </w:r>
      <w:r w:rsidRPr="0081199A">
        <w:rPr>
          <w:rFonts w:cs="Calibri"/>
          <w:b/>
          <w:bCs/>
        </w:rPr>
        <w:t>2019</w:t>
      </w:r>
      <w:r w:rsidRPr="0081199A">
        <w:rPr>
          <w:rFonts w:cs="Calibri"/>
        </w:rPr>
        <w:t xml:space="preserve">, </w:t>
      </w:r>
      <w:r w:rsidRPr="0081199A">
        <w:rPr>
          <w:rFonts w:cs="Calibri"/>
          <w:i/>
          <w:iCs/>
        </w:rPr>
        <w:t>166</w:t>
      </w:r>
      <w:r w:rsidRPr="0081199A">
        <w:rPr>
          <w:rFonts w:cs="Calibri"/>
        </w:rPr>
        <w:t xml:space="preserve"> (13), A3031–A3044. https://doi.org/10.1149/2.0981913jes.</w:t>
      </w:r>
    </w:p>
    <w:p w14:paraId="6E02102A" w14:textId="77777777" w:rsidR="00FF08A5" w:rsidRPr="0081199A" w:rsidRDefault="00FF08A5" w:rsidP="00FF08A5">
      <w:pPr>
        <w:pStyle w:val="Bibliography"/>
        <w:rPr>
          <w:rFonts w:cs="Calibri"/>
        </w:rPr>
      </w:pPr>
      <w:r w:rsidRPr="0081199A">
        <w:rPr>
          <w:rFonts w:cs="Calibri"/>
        </w:rPr>
        <w:t>(2)</w:t>
      </w:r>
      <w:r w:rsidRPr="0081199A">
        <w:rPr>
          <w:rFonts w:cs="Calibri"/>
        </w:rPr>
        <w:tab/>
        <w:t>Abels, K.; Botelho Junior, A. B.; Chen, X.; Tarpeh, W. Ligand Content and Driving Force Effects on Ion-Ion Permselectivity in Ligand-Functionalized Membranes. August 12, 2024. https://doi.org/10.26434/chemrxiv-2024-z6t01.</w:t>
      </w:r>
    </w:p>
    <w:p w14:paraId="60331D7B" w14:textId="77777777" w:rsidR="00FF08A5" w:rsidRPr="0081199A" w:rsidRDefault="00FF08A5" w:rsidP="00FF08A5">
      <w:pPr>
        <w:pStyle w:val="Bibliography"/>
        <w:rPr>
          <w:rFonts w:cs="Calibri"/>
        </w:rPr>
      </w:pPr>
      <w:r w:rsidRPr="0081199A">
        <w:rPr>
          <w:rFonts w:cs="Calibri"/>
        </w:rPr>
        <w:t>(3)</w:t>
      </w:r>
      <w:r w:rsidRPr="0081199A">
        <w:rPr>
          <w:rFonts w:cs="Calibri"/>
        </w:rPr>
        <w:tab/>
        <w:t>Burgess, D. R. NIST SRD 46. Critically Selected Stability Constants of Metal Complexes: Version 8.0 for Windows, 2020. https://doi.org/10.18434/M32154.</w:t>
      </w:r>
    </w:p>
    <w:p w14:paraId="7E1C5D22" w14:textId="23FEEC0D" w:rsidR="00091205" w:rsidRDefault="00FF08A5" w:rsidP="00FF08A5">
      <w:r>
        <w:fldChar w:fldCharType="end"/>
      </w:r>
    </w:p>
    <w:sectPr w:rsidR="00091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499"/>
    <w:rsid w:val="00053F0F"/>
    <w:rsid w:val="00091205"/>
    <w:rsid w:val="000A4AF5"/>
    <w:rsid w:val="001155B8"/>
    <w:rsid w:val="001D011C"/>
    <w:rsid w:val="00261304"/>
    <w:rsid w:val="00264766"/>
    <w:rsid w:val="002657FF"/>
    <w:rsid w:val="003356D9"/>
    <w:rsid w:val="003E326E"/>
    <w:rsid w:val="003F4432"/>
    <w:rsid w:val="004000B8"/>
    <w:rsid w:val="00520E86"/>
    <w:rsid w:val="005B6DE1"/>
    <w:rsid w:val="006B571B"/>
    <w:rsid w:val="00746499"/>
    <w:rsid w:val="00940146"/>
    <w:rsid w:val="00983061"/>
    <w:rsid w:val="009C016A"/>
    <w:rsid w:val="009C1B98"/>
    <w:rsid w:val="00B30562"/>
    <w:rsid w:val="00B74A97"/>
    <w:rsid w:val="00CB284E"/>
    <w:rsid w:val="00CB50CD"/>
    <w:rsid w:val="00D10B98"/>
    <w:rsid w:val="00D22D3B"/>
    <w:rsid w:val="00E51EC1"/>
    <w:rsid w:val="00EB40FD"/>
    <w:rsid w:val="00F76F27"/>
    <w:rsid w:val="00FB0B4A"/>
    <w:rsid w:val="00FF0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539E76"/>
  <w15:chartTrackingRefBased/>
  <w15:docId w15:val="{8E4AFA17-E211-FE42-AC79-8A11D339A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205"/>
  </w:style>
  <w:style w:type="paragraph" w:styleId="Heading1">
    <w:name w:val="heading 1"/>
    <w:basedOn w:val="Normal"/>
    <w:next w:val="Normal"/>
    <w:link w:val="Heading1Char"/>
    <w:uiPriority w:val="9"/>
    <w:qFormat/>
    <w:rsid w:val="007464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64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649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649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4649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4649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4649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4649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4649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4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64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649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649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4649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4649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4649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4649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4649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464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4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49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49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464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6499"/>
    <w:rPr>
      <w:i/>
      <w:iCs/>
      <w:color w:val="404040" w:themeColor="text1" w:themeTint="BF"/>
    </w:rPr>
  </w:style>
  <w:style w:type="paragraph" w:styleId="ListParagraph">
    <w:name w:val="List Paragraph"/>
    <w:basedOn w:val="Normal"/>
    <w:uiPriority w:val="34"/>
    <w:qFormat/>
    <w:rsid w:val="00746499"/>
    <w:pPr>
      <w:ind w:left="720"/>
      <w:contextualSpacing/>
    </w:pPr>
  </w:style>
  <w:style w:type="character" w:styleId="IntenseEmphasis">
    <w:name w:val="Intense Emphasis"/>
    <w:basedOn w:val="DefaultParagraphFont"/>
    <w:uiPriority w:val="21"/>
    <w:qFormat/>
    <w:rsid w:val="00746499"/>
    <w:rPr>
      <w:i/>
      <w:iCs/>
      <w:color w:val="0F4761" w:themeColor="accent1" w:themeShade="BF"/>
    </w:rPr>
  </w:style>
  <w:style w:type="paragraph" w:styleId="IntenseQuote">
    <w:name w:val="Intense Quote"/>
    <w:basedOn w:val="Normal"/>
    <w:next w:val="Normal"/>
    <w:link w:val="IntenseQuoteChar"/>
    <w:uiPriority w:val="30"/>
    <w:qFormat/>
    <w:rsid w:val="007464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6499"/>
    <w:rPr>
      <w:i/>
      <w:iCs/>
      <w:color w:val="0F4761" w:themeColor="accent1" w:themeShade="BF"/>
    </w:rPr>
  </w:style>
  <w:style w:type="character" w:styleId="IntenseReference">
    <w:name w:val="Intense Reference"/>
    <w:basedOn w:val="DefaultParagraphFont"/>
    <w:uiPriority w:val="32"/>
    <w:qFormat/>
    <w:rsid w:val="00746499"/>
    <w:rPr>
      <w:b/>
      <w:bCs/>
      <w:smallCaps/>
      <w:color w:val="0F4761" w:themeColor="accent1" w:themeShade="BF"/>
      <w:spacing w:val="5"/>
    </w:rPr>
  </w:style>
  <w:style w:type="paragraph" w:styleId="Bibliography">
    <w:name w:val="Bibliography"/>
    <w:basedOn w:val="Normal"/>
    <w:next w:val="Normal"/>
    <w:uiPriority w:val="37"/>
    <w:semiHidden/>
    <w:unhideWhenUsed/>
    <w:rsid w:val="00FF08A5"/>
  </w:style>
  <w:style w:type="table" w:styleId="TableGrid">
    <w:name w:val="Table Grid"/>
    <w:basedOn w:val="TableNormal"/>
    <w:uiPriority w:val="39"/>
    <w:rsid w:val="00FF0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1486</Words>
  <Characters>8474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Wylie Kau</dc:creator>
  <cp:keywords/>
  <dc:description/>
  <cp:lastModifiedBy>Wylie Kau</cp:lastModifiedBy>
  <cp:revision>27</cp:revision>
  <dcterms:created xsi:type="dcterms:W3CDTF">2025-01-29T01:18:00Z</dcterms:created>
  <dcterms:modified xsi:type="dcterms:W3CDTF">2025-01-29T03:31:00Z</dcterms:modified>
</cp:coreProperties>
</file>