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AC78">
      <w:pPr>
        <w:spacing w:before="40" w:after="40" w:line="400" w:lineRule="atLeast"/>
        <w:jc w:val="center"/>
        <w:rPr>
          <w:rFonts w:hint="default" w:ascii="宋体" w:hAnsi="宋体" w:eastAsia="宋体" w:cs="Times New Roman"/>
          <w:b/>
          <w:bCs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b/>
          <w:bCs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群调群控调控策略</w:t>
      </w:r>
    </w:p>
    <w:p w14:paraId="18CFAFBC">
      <w:p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1、三重阈值策略</w:t>
      </w:r>
    </w:p>
    <w:p w14:paraId="24C59158"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建立安全阈值、风险限值、恢复阈值三重调控策略，低于风险限值根据调控策略触发限发任务，高于恢复阈值启动恢复流程，调控参数根据关键特征量动态更新。</w:t>
      </w:r>
    </w:p>
    <w:p w14:paraId="4B64A546">
      <w:pPr>
        <w:pStyle w:val="2"/>
        <w:numPr>
          <w:ilvl w:val="1"/>
          <w:numId w:val="0"/>
        </w:numPr>
        <w:ind w:leftChars="0"/>
        <w:jc w:val="center"/>
        <w:rPr>
          <w:sz w:val="21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3957320" cy="1979930"/>
                <wp:effectExtent l="0" t="0" r="0" b="127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7320" cy="1979930"/>
                          <a:chOff x="3361" y="47353"/>
                          <a:chExt cx="6771" cy="3175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8516" y="50053"/>
                            <a:ext cx="429" cy="4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496FD4">
                              <w:pP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3361" y="47605"/>
                            <a:ext cx="401" cy="2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A55BD">
                              <w:pP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  <w:t>电网并网点功率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0" bIns="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" name="组合 29"/>
                        <wpg:cNvGrpSpPr/>
                        <wpg:grpSpPr>
                          <a:xfrm>
                            <a:off x="3796" y="47353"/>
                            <a:ext cx="6336" cy="3175"/>
                            <a:chOff x="3796" y="47353"/>
                            <a:chExt cx="6336" cy="3175"/>
                          </a:xfrm>
                        </wpg:grpSpPr>
                        <wps:wsp>
                          <wps:cNvPr id="1" name="直接箭头连接符 1"/>
                          <wps:cNvCnPr/>
                          <wps:spPr>
                            <a:xfrm flipV="1">
                              <a:off x="3818" y="47353"/>
                              <a:ext cx="0" cy="3175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直接连接符 4"/>
                          <wps:cNvCnPr/>
                          <wps:spPr>
                            <a:xfrm>
                              <a:off x="3796" y="48089"/>
                              <a:ext cx="460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直接连接符 5"/>
                          <wps:cNvCnPr/>
                          <wps:spPr>
                            <a:xfrm>
                              <a:off x="3816" y="49411"/>
                              <a:ext cx="460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直接连接符 6"/>
                          <wps:cNvCnPr/>
                          <wps:spPr>
                            <a:xfrm>
                              <a:off x="3814" y="50229"/>
                              <a:ext cx="460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文本框 7"/>
                          <wps:cNvSpPr txBox="1"/>
                          <wps:spPr>
                            <a:xfrm>
                              <a:off x="8557" y="47920"/>
                              <a:ext cx="1575" cy="4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95A54E">
                                <w:pPr>
                                  <w:rPr>
                                    <w:rFonts w:hint="default" w:ascii="楷体" w:hAnsi="楷体" w:eastAsia="楷体" w:cs="楷体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恢复阈值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" name="文本框 9"/>
                          <wps:cNvSpPr txBox="1"/>
                          <wps:spPr>
                            <a:xfrm>
                              <a:off x="8547" y="49135"/>
                              <a:ext cx="1575" cy="4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5FA704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auto"/>
                                  <w:textAlignment w:val="auto"/>
                                  <w:rPr>
                                    <w:rFonts w:hint="eastAsia" w:ascii="楷体" w:hAnsi="楷体" w:eastAsia="楷体" w:cs="楷体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风险限值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5609" y="48264"/>
                              <a:ext cx="1575" cy="4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91DB54">
                                <w:pPr>
                                  <w:jc w:val="center"/>
                                  <w:rPr>
                                    <w:rFonts w:hint="eastAsia" w:ascii="楷体" w:hAnsi="楷体" w:eastAsia="楷体" w:cs="楷体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恢复缓冲区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" name="文本框 12"/>
                          <wps:cNvSpPr txBox="1"/>
                          <wps:spPr>
                            <a:xfrm>
                              <a:off x="5846" y="48939"/>
                              <a:ext cx="1575" cy="4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9A7202">
                                <w:pPr>
                                  <w:rPr>
                                    <w:rFonts w:hint="eastAsia" w:ascii="楷体" w:hAnsi="楷体" w:eastAsia="楷体" w:cs="楷体"/>
                                    <w:lang w:val="en-US"/>
                                  </w:rPr>
                                </w:pPr>
                                <w:bookmarkStart w:id="1" w:name="OLE_LINK10"/>
                                <w:r>
                                  <w:rPr>
                                    <w:rFonts w:hint="eastAsia" w:ascii="楷体" w:hAnsi="楷体" w:eastAsia="楷体" w:cs="楷体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风险缓冲区</w:t>
                                </w:r>
                                <w:bookmarkEnd w:id="1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箭头连接符 15"/>
                          <wps:cNvCnPr/>
                          <wps:spPr>
                            <a:xfrm>
                              <a:off x="4936" y="49406"/>
                              <a:ext cx="0" cy="23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直接箭头连接符 16"/>
                          <wps:cNvCnPr/>
                          <wps:spPr>
                            <a:xfrm>
                              <a:off x="7393" y="49394"/>
                              <a:ext cx="0" cy="23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直接箭头连接符 17"/>
                          <wps:cNvCnPr/>
                          <wps:spPr>
                            <a:xfrm flipV="1">
                              <a:off x="4929" y="47853"/>
                              <a:ext cx="0" cy="23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接箭头连接符 18"/>
                          <wps:cNvCnPr/>
                          <wps:spPr>
                            <a:xfrm flipV="1">
                              <a:off x="7391" y="47852"/>
                              <a:ext cx="0" cy="23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直接连接符 27"/>
                          <wps:cNvCnPr/>
                          <wps:spPr>
                            <a:xfrm>
                              <a:off x="3816" y="48744"/>
                              <a:ext cx="460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文本框 28"/>
                          <wps:cNvSpPr txBox="1"/>
                          <wps:spPr>
                            <a:xfrm>
                              <a:off x="8548" y="48475"/>
                              <a:ext cx="1214" cy="4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A8C8B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auto"/>
                                  <w:textAlignment w:val="auto"/>
                                  <w:rPr>
                                    <w:rFonts w:hint="eastAsia" w:ascii="楷体" w:hAnsi="楷体" w:eastAsia="楷体" w:cs="楷体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安全阈值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5.9pt;width:311.6pt;" coordorigin="3361,47353" coordsize="6771,3175" o:gfxdata="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">
                <o:lock v:ext="edit" aspectratio="f"/>
                <v:shape id="_x0000_s1026" o:spid="_x0000_s1026" o:spt="202" type="#_x0000_t202" style="position:absolute;left:8516;top:50053;height:456;width:429;" filled="f" stroked="f" coordsize="21600,21600" o:gfxdata="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MER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D496FD4">
                        <w:pP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61;top:47605;height:2495;width:401;" filled="f" stroked="f" coordsize="21600,21600" o:gfxdata="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cYY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mm,0mm,0mm,0mm">
                    <w:txbxContent>
                      <w:p w14:paraId="14AA55BD">
                        <w:pP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  <w:t>电网并网点功率</w:t>
                        </w:r>
                      </w:p>
                    </w:txbxContent>
                  </v:textbox>
                </v:shape>
                <v:group id="组合 29" o:spid="_x0000_s1026" o:spt="203" style="position:absolute;left:3796;top:47353;height:3175;width:6336;" coordorigin="3796,47353" coordsize="6336,317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2" type="#_x0000_t32" style="position:absolute;left:3818;top:47353;flip:y;height:3175;width:0;" filled="f" stroked="t" coordsize="21600,21600" o:gfxdata="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k0hS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000000 [3213]" miterlimit="8" joinstyle="miter" endarrow="block"/>
                    <v:imagedata o:title=""/>
                    <o:lock v:ext="edit" aspectratio="f"/>
                  </v:shape>
                  <v:line id="直接连接符 4" o:spid="_x0000_s1026" o:spt="20" style="position:absolute;left:3796;top:48089;height:0;width:4603;" filled="f" stroked="t" coordsize="21600,21600" o:gfxdata="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xROr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直接连接符 5" o:spid="_x0000_s1026" o:spt="20" style="position:absolute;left:3816;top:49411;height:0;width:4603;" filled="f" stroked="t" coordsize="21600,21600" o:gfxdata="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Ts9N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直接连接符 6" o:spid="_x0000_s1026" o:spt="20" style="position:absolute;left:3814;top:50229;height:0;width:4603;" filled="f" stroked="t" coordsize="21600,21600" o:gfxdata="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Jq1r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文本框 7" o:spid="_x0000_s1026" o:spt="202" type="#_x0000_t202" style="position:absolute;left:8557;top:47920;height:456;width:1575;" filled="f" stroked="f" coordsize="21600,21600" o:gfxdata="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zjp1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1095A54E">
                          <w:pPr>
                            <w:rPr>
                              <w:rFonts w:hint="default" w:ascii="楷体" w:hAnsi="楷体" w:eastAsia="楷体" w:cs="楷体"/>
                              <w:lang w:val="en-US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恢复阈值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547;top:49135;height:456;width:1575;" filled="f" stroked="f" coordsize="21600,21600" o:gfxdata="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Kf7r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275FA70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eastAsia" w:ascii="楷体" w:hAnsi="楷体" w:eastAsia="楷体" w:cs="楷体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风险限值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609;top:48264;height:456;width:1575;" filled="f" stroked="f" coordsize="21600,21600" o:gfxdata="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vod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891DB54">
                          <w:pPr>
                            <w:jc w:val="center"/>
                            <w:rPr>
                              <w:rFonts w:hint="eastAsia" w:ascii="楷体" w:hAnsi="楷体" w:eastAsia="楷体" w:cs="楷体"/>
                              <w:lang w:val="en-US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恢复缓冲区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846;top:48939;height:456;width:1575;" filled="f" stroked="f" coordsize="21600,21600" o:gfxdata="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9P6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149A7202">
                          <w:pPr>
                            <w:rPr>
                              <w:rFonts w:hint="eastAsia" w:ascii="楷体" w:hAnsi="楷体" w:eastAsia="楷体" w:cs="楷体"/>
                              <w:lang w:val="en-US"/>
                            </w:rPr>
                          </w:pPr>
                          <w:bookmarkStart w:id="1" w:name="OLE_LINK10"/>
                          <w:r>
                            <w:rPr>
                              <w:rFonts w:hint="eastAsia" w:ascii="楷体" w:hAnsi="楷体" w:eastAsia="楷体" w:cs="楷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风险缓冲区</w:t>
                          </w:r>
                          <w:bookmarkEnd w:id="1"/>
                        </w:p>
                      </w:txbxContent>
                    </v:textbox>
                  </v:shape>
                  <v:shape id="直接箭头连接符 15" o:spid="_x0000_s1026" o:spt="32" type="#_x0000_t32" style="position:absolute;left:4936;top:49406;height:233;width:0;" filled="f" stroked="t" coordsize="21600,21600" o:gfxdata="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hgge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000000 [3213]" miterlimit="8" joinstyle="miter" endarrow="block"/>
                    <v:imagedata o:title=""/>
                    <o:lock v:ext="edit" aspectratio="f"/>
                  </v:shape>
                  <v:shape id="直接箭头连接符 16" o:spid="_x0000_s1026" o:spt="32" type="#_x0000_t32" style="position:absolute;left:7393;top:49394;height:233;width:0;" filled="f" stroked="t" coordsize="21600,21600" o:gfxdata="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0nn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25pt" color="#000000 [3213]" miterlimit="8" joinstyle="miter" endarrow="block"/>
                    <v:imagedata o:title=""/>
                    <o:lock v:ext="edit" aspectratio="f"/>
                  </v:shape>
                  <v:shape id="直接箭头连接符 17" o:spid="_x0000_s1026" o:spt="32" type="#_x0000_t32" style="position:absolute;left:4929;top:47853;flip:y;height:233;width:0;" filled="f" stroked="t" coordsize="21600,21600" o:gfxdata="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gkrC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1.25pt" color="#000000 [3213]" miterlimit="8" joinstyle="miter" endarrow="block"/>
                    <v:imagedata o:title=""/>
                    <o:lock v:ext="edit" aspectratio="f"/>
                  </v:shape>
                  <v:shape id="直接箭头连接符 18" o:spid="_x0000_s1026" o:spt="32" type="#_x0000_t32" style="position:absolute;left:7391;top:47852;flip:y;height:233;width:0;" filled="f" stroked="t" coordsize="21600,21600" o:gfxdata="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O71m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000000 [3213]" miterlimit="8" joinstyle="miter" endarrow="block"/>
                    <v:imagedata o:title=""/>
                    <o:lock v:ext="edit" aspectratio="f"/>
                  </v:shape>
                  <v:line id="_x0000_s1026" o:spid="_x0000_s1026" o:spt="20" style="position:absolute;left:3816;top:48744;height:0;width:4603;" filled="f" stroked="t" coordsize="21600,21600" o:gfxdata="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A9R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8548;top:48475;height:456;width:1214;" filled="f" stroked="f" coordsize="21600,21600" o:gfxdata="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nC/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4A8C8B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eastAsia" w:ascii="楷体" w:hAnsi="楷体" w:eastAsia="楷体" w:cs="楷体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安全阈值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2B8FB62">
      <w:pPr>
        <w:spacing w:before="40" w:after="40" w:line="400" w:lineRule="atLeast"/>
        <w:jc w:val="center"/>
        <w:rPr>
          <w:rFonts w:hint="default" w:ascii="黑体" w:hAnsi="黑体" w:eastAsia="黑体" w:cs="黑体"/>
          <w:color w:val="000000" w:themeColor="text1"/>
          <w:sz w:val="18"/>
          <w:szCs w:val="1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图1 三重阈值结构</w:t>
      </w:r>
    </w:p>
    <w:p w14:paraId="2A52ACAB">
      <w:pPr>
        <w:numPr>
          <w:ilvl w:val="0"/>
          <w:numId w:val="2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调控参数</w:t>
      </w:r>
    </w:p>
    <w:p w14:paraId="48CBBE37">
      <w:pPr>
        <w:numPr>
          <w:ilvl w:val="0"/>
          <w:numId w:val="0"/>
        </w:num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安全阈值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系统的“基准警戒线”，通过光伏渗透率和负荷变化率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等参数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动态修正，确立调控预备状态。</w:t>
      </w:r>
    </w:p>
    <w:p w14:paraId="392E9A78">
      <w:pPr>
        <w:numPr>
          <w:ilvl w:val="0"/>
          <w:numId w:val="0"/>
        </w:numPr>
        <w:spacing w:line="360" w:lineRule="auto"/>
        <w:ind w:firstLine="420" w:firstLineChars="200"/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风险限值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当功率低于此线时，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根据调控策略，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触发调控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任务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风险限值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在安全阈值基础上下调，等于安全阈值减去一个“风险缓冲值”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其偏移量随渗透率和负荷变化率动态调整。渗透率越高、负荷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变化率越大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，风险限值越接近安全阈值，确保在风险积聚初期及时介入。</w:t>
      </w:r>
    </w:p>
    <w:p w14:paraId="55F46180">
      <w:pPr>
        <w:numPr>
          <w:ilvl w:val="0"/>
          <w:numId w:val="0"/>
        </w:numPr>
        <w:spacing w:line="360" w:lineRule="auto"/>
        <w:ind w:firstLine="420" w:firstLineChars="200"/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恢复阈值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当功率高于此线时，启动恢复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任务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恢复阈值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在安全阈值基础上上调，等于安全阈值加上一个“恢复缓冲值”。形成必要的迟滞区间。其设置充分考虑系统惯性，渗透率越高、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负荷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波动性越大，恢复阈值设置越保守，有效防止调控振荡。</w:t>
      </w:r>
    </w:p>
    <w:p w14:paraId="6B7835BA">
      <w:pPr>
        <w:numPr>
          <w:ilvl w:val="0"/>
          <w:numId w:val="0"/>
        </w:numPr>
        <w:spacing w:line="360" w:lineRule="auto"/>
        <w:ind w:firstLine="420" w:firstLineChars="200"/>
        <w:rPr>
          <w:rFonts w:hint="default" w:ascii="宋体" w:hAnsi="宋体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调控总目标量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调控总目标量指当系统触发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限发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指令时，需要光伏集群削减的功率总和。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调控总目标量基于当前功率与安全阈值的差值，计算出将系统从风险状态拉回安全基准所必需的基础调控量</w:t>
      </w:r>
      <w:r>
        <w:rPr>
          <w:rFonts w:hint="eastAsia" w:ascii="宋体" w:hAnsi="宋体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确保能够及时消除当前的功率越限问题。</w:t>
      </w:r>
    </w:p>
    <w:p w14:paraId="0371A1B4">
      <w:pPr>
        <w:numPr>
          <w:ilvl w:val="0"/>
          <w:numId w:val="2"/>
        </w:numPr>
        <w:spacing w:line="360" w:lineRule="auto"/>
        <w:ind w:firstLine="420" w:firstLineChars="200"/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关键特征量</w:t>
      </w:r>
    </w:p>
    <w:p w14:paraId="4173D278">
      <w:pPr>
        <w:numPr>
          <w:ilvl w:val="0"/>
          <w:numId w:val="0"/>
        </w:numPr>
        <w:spacing w:line="360" w:lineRule="auto"/>
        <w:ind w:firstLine="420" w:firstLineChars="200"/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负荷变化率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指并网点净负荷有功功率在连续采样周期内的相对变化率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，采样周期取15分钟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410C64E"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光伏渗透率：指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并网点供电范围内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光伏装机容量与该区域电网最大负荷之间的比例关系。</w:t>
      </w:r>
    </w:p>
    <w:p w14:paraId="34952A25">
      <w:pPr>
        <w:spacing w:before="40" w:after="40" w:line="400" w:lineRule="atLeast"/>
        <w:ind w:firstLine="420" w:firstLineChars="200"/>
        <w:jc w:val="left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潮流倒送风险概率</w:t>
      </w:r>
      <w:r>
        <w:rPr>
          <w:rFonts w:hint="eastAsia"/>
          <w:rtl w:val="0"/>
          <w:lang w:val="en-US" w:eastAsia="zh-CN"/>
        </w:rPr>
        <w:t>：</w:t>
      </w:r>
      <w:r>
        <w:rPr>
          <w:rFonts w:hint="default"/>
          <w:rtl w:val="0"/>
          <w:lang w:val="en-US" w:eastAsia="zh-CN"/>
        </w:rPr>
        <w:t>指在当前电网运行状态和光伏出力趋势下，系统在未来发生潮流倒送的概率。</w:t>
      </w:r>
    </w:p>
    <w:p w14:paraId="7F1F58E8">
      <w:pPr>
        <w:spacing w:before="40" w:after="40" w:line="400" w:lineRule="atLeast"/>
        <w:ind w:firstLine="420" w:firstLineChars="200"/>
        <w:jc w:val="left"/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2、调控策略</w:t>
      </w:r>
    </w:p>
    <w:p w14:paraId="22186DA1">
      <w:pPr>
        <w:numPr>
          <w:ilvl w:val="0"/>
          <w:numId w:val="0"/>
        </w:numPr>
        <w:spacing w:line="360" w:lineRule="auto"/>
        <w:ind w:firstLine="420" w:firstLineChars="200"/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系统持续检测并网点功率，当并网点功率低于风险限值时启动调控任务</w:t>
      </w: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调控任务启动后，系统根据电网状态变化的紧急程度，动态切换调控模式，精准判断是否下发控制指令，避免因功率在限值附近短期波动引发过度调控。</w:t>
      </w:r>
      <w:bookmarkStart w:id="2" w:name="_GoBack"/>
      <w:bookmarkEnd w:id="2"/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分级调控流程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如图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1"/>
          <w:szCs w:val="21"/>
          <w:highlight w:val="none"/>
          <w:shd w:val="clear" w:color="auto" w:fill="FFFFFF"/>
          <w:rtl w:val="0"/>
          <w:lang w:val="en-US" w:eastAsia="zh-CN"/>
          <w14:textFill>
            <w14:solidFill>
              <w14:schemeClr w14:val="tx1"/>
            </w14:solidFill>
          </w14:textFill>
        </w:rPr>
        <w:t>所示。</w:t>
      </w:r>
    </w:p>
    <w:p w14:paraId="334CB900">
      <w:pPr>
        <w:pStyle w:val="2"/>
        <w:numPr>
          <w:ilvl w:val="1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rtl w:val="0"/>
          <w:lang w:val="en-US" w:eastAsia="zh-CN"/>
        </w:rPr>
        <w:object>
          <v:shape id="_x0000_i1025" o:spt="75" type="#_x0000_t75" style="height:368.5pt;width:231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6E1B91E0">
      <w:pPr>
        <w:spacing w:before="40" w:after="40" w:line="400" w:lineRule="atLeast"/>
        <w:jc w:val="center"/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图3 分布式光伏分级自适应调控策略逻辑流程图</w:t>
      </w:r>
    </w:p>
    <w:p w14:paraId="0691A259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紧急调控模式</w:t>
      </w:r>
    </w:p>
    <w:p w14:paraId="1AD885B3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当负荷变化率</w:t>
      </w:r>
      <w:bookmarkStart w:id="0" w:name="OLE_LINK4"/>
      <w:r>
        <w:rPr>
          <w:rFonts w:hint="default" w:ascii="宋体" w:hAnsi="宋体" w:eastAsia="宋体" w:cs="Times New Roman"/>
          <w:color w:val="000000" w:themeColor="text1"/>
          <w:position w:val="-1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6" o:spt="75" type="#_x0000_t75" style="height:18pt;width:3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bookmarkEnd w:id="0"/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宋体" w:hAnsi="宋体" w:eastAsia="宋体" w:cs="Times New Roman"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7" o:spt="75" type="#_x0000_t75" style="height:13.95pt;width:1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为临界灵敏系数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）时，表明系统正经历陡峭功率爬坡（通常伴随负荷快速下降），潮流倒送风险急剧升高。在此紧急场景下，响应速度至关重要，系统将绕过常规滤波判断流程，立即触发调控指令，以最快响应速度抑制风险，确保电网安全。</w:t>
      </w:r>
    </w:p>
    <w:p w14:paraId="46178A70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智能防抖模式</w:t>
      </w:r>
    </w:p>
    <w:p w14:paraId="458B4DA4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当负荷变化率</w:t>
      </w:r>
      <w:r>
        <w:rPr>
          <w:rFonts w:hint="default" w:ascii="宋体" w:hAnsi="宋体" w:eastAsia="宋体" w:cs="Times New Roman"/>
          <w:color w:val="000000" w:themeColor="text1"/>
          <w:position w:val="-1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宋体" w:hAnsi="宋体" w:eastAsia="宋体" w:cs="Times New Roman"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9" o:spt="75" type="#_x0000_t75" style="height:13.95pt;width:1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为临界灵敏系数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）时，表明系统运行状态相对平稳，此时调控重心由“应对快速风险”转向“避免无效操作”。为有效识别并网点功率的瞬时波动特征（如云层漂移引起的短时功率波动），系统自动启用“3/5”智能判定机制</w:t>
      </w: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该机制设定以下两条并行判定条件，满足任一条件即触发实际调控指令：</w:t>
      </w:r>
    </w:p>
    <w:p w14:paraId="311D7B9D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a）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持续性判据：并网点功率连续3个采样周期超过设定阈值；</w:t>
      </w:r>
    </w:p>
    <w:p w14:paraId="7DB2DF66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b）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频次性判据：在连续5个采样周期内，累计出现3次及以上功率越限情况。</w:t>
      </w:r>
    </w:p>
    <w:p w14:paraId="7A3EBED4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通过引入具备持续性与统计特性的观察窗口，该机制能够有效区分真实的持续越限风险与短暂的随机波动，从而显著降低因瞬时波动导致</w:t>
      </w:r>
    </w:p>
    <w:p w14:paraId="5C4A5575">
      <w:p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3、恢复策略</w:t>
      </w:r>
    </w:p>
    <w:p w14:paraId="2B6AF7CA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通过渐进式恢复方式，在保障电网安全的前提下，依次经触发与执行两个阶段，实现恢复过程的平稳启动与可控推进，从而在确保系统运行安全的基础上，优化光伏发电的经济性。系统恢复策略流程如图4所示。</w:t>
      </w:r>
    </w:p>
    <w:p w14:paraId="11F6612D">
      <w:pPr>
        <w:pStyle w:val="2"/>
        <w:numPr>
          <w:ilvl w:val="1"/>
          <w:numId w:val="0"/>
        </w:numPr>
        <w:ind w:leftChars="0"/>
        <w:jc w:val="center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object>
          <v:shape id="_x0000_i1030" o:spt="75" type="#_x0000_t75" style="height:272.95pt;width:207.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13">
            <o:LockedField>false</o:LockedField>
          </o:OLEObject>
        </w:object>
      </w:r>
    </w:p>
    <w:p w14:paraId="06452A39">
      <w:pPr>
        <w:spacing w:before="40" w:after="40" w:line="400" w:lineRule="atLeast"/>
        <w:jc w:val="center"/>
        <w:rPr>
          <w:rFonts w:hint="default" w:ascii="黑体" w:hAnsi="黑体" w:eastAsia="黑体" w:cs="黑体"/>
          <w:color w:val="000000" w:themeColor="text1"/>
          <w:sz w:val="18"/>
          <w:szCs w:val="1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图4 分布式光伏群调群控系统恢复策略逻辑流程图</w:t>
      </w:r>
    </w:p>
    <w:p w14:paraId="0EF9AABA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触发阶段</w:t>
      </w:r>
    </w:p>
    <w:p w14:paraId="07875AD3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启动条件：当并网点有功功率高于恢复阈值时，系统自动启动恢复任务。此设计确保系统在确认电网状态足够安全后才启动恢复流程，为后续的恢复操作提供可靠的基础保障。</w:t>
      </w:r>
    </w:p>
    <w:p w14:paraId="3CD67DD1">
      <w:pPr>
        <w:numPr>
          <w:ilvl w:val="0"/>
          <w:numId w:val="3"/>
        </w:numPr>
        <w:spacing w:before="40" w:after="40" w:line="400" w:lineRule="atLeast"/>
        <w:ind w:left="420" w:leftChars="200" w:firstLine="0" w:firstLineChars="0"/>
        <w:jc w:val="left"/>
        <w:rPr>
          <w:rFonts w:hint="default" w:ascii="宋体" w:hAnsi="宋体" w:eastAsia="宋体" w:cs="Times New Roman"/>
          <w:color w:val="000000" w:themeColor="text1"/>
          <w:kern w:val="2"/>
          <w:sz w:val="21"/>
          <w:szCs w:val="21"/>
          <w:rtl w:val="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执行阶段：分步增量恢复与动态评估</w:t>
      </w:r>
    </w:p>
    <w:p w14:paraId="4EAF16F0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kern w:val="2"/>
          <w:sz w:val="21"/>
          <w:szCs w:val="21"/>
          <w:rtl w:val="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2"/>
          <w:sz w:val="21"/>
          <w:szCs w:val="21"/>
          <w:rtl w:val="0"/>
          <w:lang w:val="en-US" w:eastAsia="zh-CN" w:bidi="ar-SA"/>
          <w14:textFill>
            <w14:solidFill>
              <w14:schemeClr w14:val="tx1"/>
            </w14:solidFill>
          </w14:textFill>
        </w:rPr>
        <w:t>系统</w:t>
      </w:r>
      <w:r>
        <w:rPr>
          <w:rFonts w:hint="default" w:ascii="宋体" w:hAnsi="宋体" w:eastAsia="宋体" w:cs="Times New Roman"/>
          <w:color w:val="000000" w:themeColor="text1"/>
          <w:kern w:val="2"/>
          <w:sz w:val="21"/>
          <w:szCs w:val="21"/>
          <w:rtl w:val="0"/>
          <w:lang w:val="en-US" w:eastAsia="zh-CN" w:bidi="ar-SA"/>
          <w14:textFill>
            <w14:solidFill>
              <w14:schemeClr w14:val="tx1"/>
            </w14:solidFill>
          </w14:textFill>
        </w:rPr>
        <w:t>采用渐进式恢复方式，将总待恢复功率分解为多个预设比例的功率增量，并循环执行以下流程：</w:t>
      </w:r>
    </w:p>
    <w:p w14:paraId="3D96AF20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指令下发：向光伏集群下发一个功率增量指令，确保功率恢复过程平稳可控。</w:t>
      </w:r>
    </w:p>
    <w:p w14:paraId="4AE81797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暂停监测：指令下发后，系统暂停一段时间（如3分钟），通过SCADA系统实时监测功率响应与系统状态，验证实际功率变化是否符合预期。</w:t>
      </w:r>
    </w:p>
    <w:p w14:paraId="0B437037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动态评估：基于监测数据，评估是否满足继续恢复的条件（如功率稳定在安全阈值以上、实际功率增量与指令偏差保持在允许范围内</w:t>
      </w:r>
      <w:r>
        <w:rPr>
          <w:rFonts w:hint="eastAsia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指令有效、无异常等）。</w:t>
      </w:r>
    </w:p>
    <w:p w14:paraId="5EF15E11">
      <w:pPr>
        <w:numPr>
          <w:ilvl w:val="0"/>
          <w:numId w:val="0"/>
        </w:numPr>
        <w:spacing w:before="40" w:after="40" w:line="400" w:lineRule="atLeast"/>
        <w:ind w:firstLine="420" w:firstLineChars="200"/>
        <w:jc w:val="left"/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Times New Roman"/>
          <w:color w:val="000000" w:themeColor="text1"/>
          <w:sz w:val="21"/>
          <w:szCs w:val="21"/>
          <w:rtl w:val="0"/>
          <w:lang w:val="en-US" w:eastAsia="zh-CN"/>
          <w14:textFill>
            <w14:solidFill>
              <w14:schemeClr w14:val="tx1"/>
            </w14:solidFill>
          </w14:textFill>
        </w:rPr>
        <w:t>决策执行：若评估通过，则继续下发下一增量；若评估不通过或触发终止条件，则立即中止恢复流程，确保系统安全。</w:t>
      </w:r>
    </w:p>
    <w:p w14:paraId="71B32B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A3A01"/>
    <w:multiLevelType w:val="singleLevel"/>
    <w:tmpl w:val="822A3A0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9D27F69"/>
    <w:multiLevelType w:val="singleLevel"/>
    <w:tmpl w:val="D9D27F69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21D4007"/>
    <w:multiLevelType w:val="multilevel"/>
    <w:tmpl w:val="021D4007"/>
    <w:lvl w:ilvl="0" w:tentative="0">
      <w:start w:val="1"/>
      <w:numFmt w:val="chineseCountingThousand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space"/>
      <w:lvlText w:val="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space"/>
      <w:lvlText w:val="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suff w:val="space"/>
      <w:lvlText w:val="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suff w:val="space"/>
      <w:lvlText w:val="%2.%3.%4.%5.%6.%7.%8.%9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9684B"/>
    <w:rsid w:val="0619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3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ascii="Calibri" w:hAnsi="Calibri" w:cstheme="majorBidi"/>
      <w:sz w:val="28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nhideWhenUsed/>
    <w:qFormat/>
    <w:uiPriority w:val="39"/>
    <w:p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emf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2026-09-01T01:58:00Z</dcterms:created>
  <dc:creator>范丽</dc:creator>
  <cp:lastModifiedBy>范丽</cp:lastModifiedBy>
  <dcterms:modified xsi:type="dcterms:W3CDTF">2026-09-01T02:00:19Z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F1EAED33857E401A826193055EF7BAE8_11</vt:lpwstr>
  </property>
</Properties>
</file>