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numPr>
          <w:ilvl w:val="0"/>
          <w:numId w:val="0"/>
        </w:numPr>
        <w:ind w:leftChars="0"/>
        <w:rPr>
          <w:rFonts w:hint="default" w:ascii="宋体" w:hAnsi="宋体" w:eastAsia="宋体" w:cs="宋体"/>
          <w:b/>
          <w:bCs/>
          <w:kern w:val="2"/>
          <w:sz w:val="30"/>
          <w:szCs w:val="30"/>
          <w:highlight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2"/>
          <w:sz w:val="30"/>
          <w:szCs w:val="30"/>
          <w:highlight w:val="none"/>
          <w:lang w:val="en-US" w:eastAsia="zh-CN" w:bidi="ar-SA"/>
        </w:rPr>
        <w:t>一、适用规范标准和管理文件要求</w:t>
      </w:r>
    </w:p>
    <w:p>
      <w:pPr>
        <w:spacing w:line="360" w:lineRule="auto"/>
        <w:ind w:firstLine="482" w:firstLineChars="200"/>
        <w:rPr>
          <w:rFonts w:hint="default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技术标准</w:t>
      </w:r>
    </w:p>
    <w:p>
      <w:pPr>
        <w:pStyle w:val="3"/>
        <w:numPr>
          <w:ilvl w:val="0"/>
          <w:numId w:val="0"/>
        </w:numPr>
        <w:spacing w:line="360" w:lineRule="auto"/>
        <w:ind w:leftChars="0" w:firstLine="480" w:firstLineChars="200"/>
        <w:rPr>
          <w:rFonts w:hint="eastAsia" w:ascii="宋体" w:hAnsi="宋体" w:eastAsia="宋体" w:cs="宋体"/>
          <w:b w:val="0"/>
          <w:color w:val="auto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color w:val="auto"/>
          <w:kern w:val="2"/>
          <w:sz w:val="24"/>
          <w:szCs w:val="24"/>
          <w:highlight w:val="none"/>
          <w:lang w:val="en-US" w:eastAsia="zh-CN" w:bidi="ar-SA"/>
        </w:rPr>
        <w:t>GB/T 33592-2017分布式电源并网运行控制规范</w:t>
      </w:r>
    </w:p>
    <w:p>
      <w:pPr>
        <w:pStyle w:val="3"/>
        <w:numPr>
          <w:ilvl w:val="0"/>
          <w:numId w:val="0"/>
        </w:numPr>
        <w:spacing w:line="360" w:lineRule="auto"/>
        <w:ind w:leftChars="0" w:firstLine="480" w:firstLineChars="200"/>
        <w:rPr>
          <w:rFonts w:hint="eastAsia" w:ascii="宋体" w:hAnsi="宋体" w:eastAsia="宋体" w:cs="宋体"/>
          <w:b w:val="0"/>
          <w:color w:val="auto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color w:val="auto"/>
          <w:kern w:val="2"/>
          <w:sz w:val="24"/>
          <w:szCs w:val="24"/>
          <w:highlight w:val="none"/>
          <w:lang w:val="en-US" w:eastAsia="zh-CN" w:bidi="ar-SA"/>
        </w:rPr>
        <w:t>GB/T 34930-2017 微电网接入配电网运行控制规范</w:t>
      </w:r>
    </w:p>
    <w:p>
      <w:pPr>
        <w:pStyle w:val="3"/>
        <w:numPr>
          <w:ilvl w:val="0"/>
          <w:numId w:val="0"/>
        </w:numPr>
        <w:spacing w:line="360" w:lineRule="auto"/>
        <w:ind w:leftChars="0" w:firstLine="480" w:firstLineChars="200"/>
        <w:rPr>
          <w:rFonts w:hint="eastAsia" w:ascii="宋体" w:hAnsi="宋体" w:eastAsia="宋体" w:cs="宋体"/>
          <w:b w:val="0"/>
          <w:color w:val="auto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color w:val="auto"/>
          <w:kern w:val="2"/>
          <w:sz w:val="24"/>
          <w:szCs w:val="24"/>
          <w:highlight w:val="none"/>
          <w:lang w:val="en-US" w:eastAsia="zh-CN" w:bidi="ar-SA"/>
        </w:rPr>
        <w:t>GB/T 33589-2017 微电网接入电力系统技术规定</w:t>
      </w:r>
    </w:p>
    <w:p>
      <w:pPr>
        <w:pStyle w:val="3"/>
        <w:numPr>
          <w:ilvl w:val="0"/>
          <w:numId w:val="0"/>
        </w:numPr>
        <w:spacing w:line="360" w:lineRule="auto"/>
        <w:ind w:leftChars="0" w:firstLine="480" w:firstLineChars="200"/>
        <w:rPr>
          <w:rFonts w:hint="eastAsia" w:ascii="宋体" w:hAnsi="宋体" w:eastAsia="宋体" w:cs="宋体"/>
          <w:b w:val="0"/>
          <w:color w:val="auto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color w:val="auto"/>
          <w:kern w:val="2"/>
          <w:sz w:val="24"/>
          <w:szCs w:val="24"/>
          <w:highlight w:val="none"/>
          <w:lang w:val="en-US" w:eastAsia="zh-CN" w:bidi="ar-SA"/>
        </w:rPr>
        <w:t>GB/Z 44789-2024 微电网动态控制要求</w:t>
      </w:r>
    </w:p>
    <w:p>
      <w:pPr>
        <w:pStyle w:val="3"/>
        <w:numPr>
          <w:ilvl w:val="0"/>
          <w:numId w:val="0"/>
        </w:numPr>
        <w:spacing w:line="360" w:lineRule="auto"/>
        <w:ind w:leftChars="0" w:firstLine="480" w:firstLineChars="200"/>
        <w:rPr>
          <w:rFonts w:hint="eastAsia" w:ascii="宋体" w:hAnsi="宋体" w:eastAsia="宋体" w:cs="宋体"/>
          <w:b w:val="0"/>
          <w:color w:val="auto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color w:val="auto"/>
          <w:kern w:val="2"/>
          <w:sz w:val="24"/>
          <w:szCs w:val="24"/>
          <w:highlight w:val="none"/>
          <w:lang w:val="en-US" w:eastAsia="zh-CN" w:bidi="ar-SA"/>
        </w:rPr>
        <w:t>GB/T 43463-2023 微电网群运行控制要求</w:t>
      </w:r>
    </w:p>
    <w:p>
      <w:pPr>
        <w:pStyle w:val="3"/>
        <w:numPr>
          <w:ilvl w:val="0"/>
          <w:numId w:val="0"/>
        </w:numPr>
        <w:spacing w:line="360" w:lineRule="auto"/>
        <w:ind w:leftChars="0" w:firstLine="480" w:firstLineChars="200"/>
        <w:rPr>
          <w:rFonts w:hint="eastAsia" w:ascii="宋体" w:hAnsi="宋体" w:eastAsia="宋体" w:cs="宋体"/>
          <w:b w:val="0"/>
          <w:color w:val="auto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color w:val="auto"/>
          <w:kern w:val="2"/>
          <w:sz w:val="24"/>
          <w:szCs w:val="24"/>
          <w:highlight w:val="none"/>
          <w:lang w:val="en-US" w:eastAsia="zh-CN" w:bidi="ar-SA"/>
        </w:rPr>
        <w:t>GBT 40594-2021 电力系统网源协调技术导则</w:t>
      </w:r>
    </w:p>
    <w:p>
      <w:pPr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/>
          <w:bCs/>
          <w:color w:val="auto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highlight w:val="none"/>
          <w:lang w:val="en-US" w:eastAsia="zh-CN"/>
        </w:rPr>
        <w:t>技术要求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b w:val="0"/>
          <w:color w:val="auto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color w:val="auto"/>
          <w:kern w:val="2"/>
          <w:sz w:val="24"/>
          <w:szCs w:val="24"/>
          <w:highlight w:val="none"/>
          <w:lang w:val="en-US" w:eastAsia="zh-CN" w:bidi="ar-SA"/>
        </w:rPr>
        <w:t>本项目为中国石油天然气集团有限公司科技项目《油气和新能源融合发展关键技术研究与应用》课题1《稀油生产与新能源融合发展关键技术研究与应用》下专题四：油田新型电网稳定运行关键技术研究内容。针对长庆油田新能源接入的实际情况，结合大电网与区域微电网运行，开展区域电网下源网荷储协同控制优化运行分析与研究。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b w:val="0"/>
          <w:color w:val="auto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color w:val="auto"/>
          <w:kern w:val="2"/>
          <w:sz w:val="24"/>
          <w:szCs w:val="24"/>
          <w:highlight w:val="none"/>
          <w:lang w:val="en-US" w:eastAsia="zh-CN" w:bidi="ar-SA"/>
        </w:rPr>
        <w:t>主要技术要求包括：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80" w:firstLineChars="200"/>
        <w:rPr>
          <w:rFonts w:hint="default" w:ascii="宋体" w:hAnsi="宋体" w:eastAsia="宋体" w:cs="宋体"/>
          <w:b w:val="0"/>
          <w:color w:val="auto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color w:val="auto"/>
          <w:kern w:val="2"/>
          <w:sz w:val="24"/>
          <w:szCs w:val="24"/>
          <w:highlight w:val="none"/>
          <w:lang w:val="en-US" w:eastAsia="zh-CN" w:bidi="ar-SA"/>
        </w:rPr>
        <w:t>（1）结合油田电网结构及新能源接入现状，开展跨区域分布式微电网的多层级集群协同控制策略研究，所提供的协同控制策略能够完全适用油田电网现有结构特征，具有较强的创新性。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80" w:firstLineChars="200"/>
        <w:rPr>
          <w:rFonts w:hint="eastAsia" w:ascii="宋体" w:hAnsi="宋体" w:eastAsia="宋体" w:cs="宋体"/>
          <w:b w:val="0"/>
          <w:color w:val="auto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color w:val="auto"/>
          <w:kern w:val="2"/>
          <w:sz w:val="24"/>
          <w:szCs w:val="24"/>
          <w:highlight w:val="none"/>
          <w:lang w:val="en-US" w:eastAsia="zh-CN" w:bidi="ar-SA"/>
        </w:rPr>
        <w:t>（2）所研究的协同控制策略能够保证跨区域油田电网考核点潮流不倒送、功率因数达标（与上级电网连接点平均考核功率因数保证在0.9以上）、电压分布满足相关标准要求。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80" w:firstLineChars="200"/>
        <w:rPr>
          <w:rFonts w:hint="eastAsia" w:ascii="宋体" w:hAnsi="宋体" w:eastAsia="宋体" w:cs="宋体"/>
          <w:b w:val="0"/>
          <w:color w:val="auto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color w:val="auto"/>
          <w:kern w:val="2"/>
          <w:sz w:val="24"/>
          <w:szCs w:val="24"/>
          <w:highlight w:val="none"/>
          <w:lang w:val="en-US" w:eastAsia="zh-CN" w:bidi="ar-SA"/>
        </w:rPr>
        <w:t>（3）以多层级微电网集群节点电压偏差、网损最小等目标形成多目标优化数学模型，所建立的模型须完整覆盖油田电网源网荷储设备类型。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b w:val="0"/>
          <w:color w:val="auto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color w:val="auto"/>
          <w:kern w:val="2"/>
          <w:sz w:val="24"/>
          <w:szCs w:val="24"/>
          <w:highlight w:val="none"/>
          <w:lang w:val="en-US" w:eastAsia="zh-CN" w:bidi="ar-SA"/>
        </w:rPr>
        <w:t>（4）设计单微电网运行的优化数学模型，综合考虑风机、SVG、储能等多类电源因素，保证微电网所属的区域电网新能源不倒送、运行经济性提升10%以上。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80" w:firstLineChars="200"/>
        <w:textAlignment w:val="auto"/>
        <w:rPr>
          <w:rFonts w:hint="default"/>
          <w:lang w:val="en-US" w:eastAsia="zh-CN"/>
        </w:rPr>
      </w:pPr>
      <w:r>
        <w:rPr>
          <w:rFonts w:hint="eastAsia" w:ascii="宋体" w:hAnsi="宋体" w:eastAsia="宋体" w:cs="宋体"/>
          <w:b w:val="0"/>
          <w:color w:val="auto"/>
          <w:kern w:val="2"/>
          <w:sz w:val="24"/>
          <w:szCs w:val="24"/>
          <w:highlight w:val="none"/>
          <w:lang w:val="en-US" w:eastAsia="zh-CN" w:bidi="ar-SA"/>
        </w:rPr>
        <w:t>（5）基于多区域微电网提出新能源协同控制优化策略，综合量化评估模型中微电网数量不少于3个，建立数学模型多目标函数中的子目标不少于2个。</w:t>
      </w:r>
    </w:p>
    <w:p>
      <w:pPr>
        <w:pStyle w:val="2"/>
        <w:keepLines w:val="0"/>
        <w:pageBreakBefore w:val="0"/>
        <w:widowControl w:val="0"/>
        <w:numPr>
          <w:ilvl w:val="1"/>
          <w:numId w:val="0"/>
        </w:numPr>
        <w:tabs>
          <w:tab w:val="clear" w:pos="567"/>
        </w:tabs>
        <w:kinsoku/>
        <w:wordWrap/>
        <w:overflowPunct/>
        <w:topLinePunct w:val="0"/>
        <w:autoSpaceDE/>
        <w:autoSpaceDN/>
        <w:bidi w:val="0"/>
        <w:spacing w:beforeLines="0" w:line="360" w:lineRule="auto"/>
        <w:ind w:leftChars="0"/>
        <w:textAlignment w:val="auto"/>
        <w:rPr>
          <w:rFonts w:hint="eastAsia" w:ascii="宋体" w:hAnsi="宋体" w:eastAsia="宋体" w:cs="宋体"/>
          <w:b/>
          <w:bCs/>
          <w:color w:val="auto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color w:val="auto"/>
          <w:kern w:val="2"/>
          <w:sz w:val="24"/>
          <w:szCs w:val="24"/>
          <w:highlight w:val="none"/>
          <w:lang w:val="en-US" w:eastAsia="zh-CN" w:bidi="ar-SA"/>
        </w:rPr>
        <w:t>（二）委托研发方案</w:t>
      </w:r>
    </w:p>
    <w:p>
      <w:pPr>
        <w:pStyle w:val="2"/>
        <w:keepLines w:val="0"/>
        <w:pageBreakBefore w:val="0"/>
        <w:widowControl w:val="0"/>
        <w:numPr>
          <w:ilvl w:val="1"/>
          <w:numId w:val="0"/>
        </w:numPr>
        <w:tabs>
          <w:tab w:val="clear" w:pos="567"/>
        </w:tabs>
        <w:kinsoku/>
        <w:wordWrap/>
        <w:overflowPunct/>
        <w:topLinePunct w:val="0"/>
        <w:autoSpaceDE/>
        <w:autoSpaceDN/>
        <w:bidi w:val="0"/>
        <w:spacing w:beforeLines="0" w:line="360" w:lineRule="auto"/>
        <w:ind w:leftChars="0" w:firstLine="480" w:firstLineChars="200"/>
        <w:textAlignment w:val="auto"/>
        <w:rPr>
          <w:rFonts w:hint="eastAsia" w:ascii="宋体" w:hAnsi="宋体" w:eastAsia="宋体" w:cs="宋体"/>
          <w:b w:val="0"/>
          <w:color w:val="auto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color w:val="auto"/>
          <w:kern w:val="2"/>
          <w:sz w:val="24"/>
          <w:szCs w:val="24"/>
          <w:highlight w:val="none"/>
          <w:lang w:val="en-US" w:eastAsia="zh-CN" w:bidi="ar-SA"/>
        </w:rPr>
        <w:t>（1）针对已运行的山城区域微电网（包括山城变接带分布式光伏、2台5MW风机、SVG、2.5MW/5MWh储能），结合储能、SVG、风电以及区域分布式光伏开展潮流分析，分析不同类型新能源的潮流计算数学模型。</w:t>
      </w:r>
    </w:p>
    <w:p>
      <w:pPr>
        <w:pStyle w:val="2"/>
        <w:keepLines w:val="0"/>
        <w:pageBreakBefore w:val="0"/>
        <w:widowControl w:val="0"/>
        <w:numPr>
          <w:ilvl w:val="1"/>
          <w:numId w:val="0"/>
        </w:numPr>
        <w:tabs>
          <w:tab w:val="clear" w:pos="567"/>
        </w:tabs>
        <w:kinsoku/>
        <w:wordWrap/>
        <w:overflowPunct/>
        <w:topLinePunct w:val="0"/>
        <w:autoSpaceDE/>
        <w:autoSpaceDN/>
        <w:bidi w:val="0"/>
        <w:spacing w:beforeLines="0" w:line="360" w:lineRule="auto"/>
        <w:ind w:leftChars="0" w:firstLine="480" w:firstLineChars="200"/>
        <w:textAlignment w:val="auto"/>
        <w:rPr>
          <w:rFonts w:hint="eastAsia" w:ascii="宋体" w:hAnsi="宋体" w:eastAsia="宋体" w:cs="宋体"/>
          <w:b w:val="0"/>
          <w:color w:val="auto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color w:val="auto"/>
          <w:kern w:val="2"/>
          <w:sz w:val="24"/>
          <w:szCs w:val="24"/>
          <w:highlight w:val="none"/>
          <w:lang w:val="en-US" w:eastAsia="zh-CN" w:bidi="ar-SA"/>
        </w:rPr>
        <w:t>（2）在现有微电网运行基础上，形成新能源最优协同控制策略，对区域电网内源网荷储进行电网控制策略与逻辑的开发，实现分布式新能源的群体调控，确保区域电网有功无功平衡以及经济性最优。</w:t>
      </w:r>
    </w:p>
    <w:p>
      <w:pPr>
        <w:pStyle w:val="2"/>
        <w:keepLines w:val="0"/>
        <w:pageBreakBefore w:val="0"/>
        <w:widowControl w:val="0"/>
        <w:numPr>
          <w:ilvl w:val="1"/>
          <w:numId w:val="0"/>
        </w:numPr>
        <w:tabs>
          <w:tab w:val="clear" w:pos="567"/>
        </w:tabs>
        <w:kinsoku/>
        <w:wordWrap/>
        <w:overflowPunct/>
        <w:topLinePunct w:val="0"/>
        <w:autoSpaceDE/>
        <w:autoSpaceDN/>
        <w:bidi w:val="0"/>
        <w:spacing w:beforeLines="0" w:line="360" w:lineRule="auto"/>
        <w:ind w:leftChars="0" w:firstLine="480" w:firstLineChars="200"/>
        <w:textAlignment w:val="auto"/>
        <w:rPr>
          <w:rFonts w:hint="eastAsia" w:ascii="宋体" w:hAnsi="宋体" w:eastAsia="宋体" w:cs="宋体"/>
          <w:b w:val="0"/>
          <w:color w:val="auto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color w:val="auto"/>
          <w:kern w:val="2"/>
          <w:sz w:val="24"/>
          <w:szCs w:val="24"/>
          <w:highlight w:val="none"/>
          <w:lang w:val="en-US" w:eastAsia="zh-CN" w:bidi="ar-SA"/>
        </w:rPr>
        <w:t>（3）基于延安地区油田分散式风电，针对分散的多层级微电网（各个微电网分属不同区域电网），研究建立分层分级的分布式微电网集群控制模型，提出微电网集群优化控制算法，并开展对应的优化仿真分析。</w:t>
      </w:r>
    </w:p>
    <w:p>
      <w:pPr>
        <w:pStyle w:val="2"/>
        <w:keepLines w:val="0"/>
        <w:pageBreakBefore w:val="0"/>
        <w:widowControl w:val="0"/>
        <w:numPr>
          <w:ilvl w:val="1"/>
          <w:numId w:val="0"/>
        </w:numPr>
        <w:tabs>
          <w:tab w:val="clear" w:pos="567"/>
        </w:tabs>
        <w:kinsoku/>
        <w:wordWrap/>
        <w:overflowPunct/>
        <w:topLinePunct w:val="0"/>
        <w:autoSpaceDE/>
        <w:autoSpaceDN/>
        <w:bidi w:val="0"/>
        <w:spacing w:beforeLines="0" w:line="360" w:lineRule="auto"/>
        <w:ind w:leftChars="0" w:firstLine="480" w:firstLineChars="200"/>
        <w:textAlignment w:val="auto"/>
        <w:rPr>
          <w:rFonts w:hint="eastAsia" w:ascii="宋体" w:hAnsi="宋体" w:eastAsia="宋体" w:cs="宋体"/>
          <w:b w:val="0"/>
          <w:color w:val="auto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color w:val="auto"/>
          <w:kern w:val="2"/>
          <w:sz w:val="24"/>
          <w:szCs w:val="24"/>
          <w:highlight w:val="none"/>
          <w:lang w:val="en-US" w:eastAsia="zh-CN" w:bidi="ar-SA"/>
        </w:rPr>
        <w:t>（4）基于多层级微电网集群控制，结合D5000系统形成工程应用对接模型，为系统功能扩展提供支撑。</w:t>
      </w:r>
    </w:p>
    <w:p>
      <w:pPr>
        <w:pStyle w:val="2"/>
        <w:keepLines w:val="0"/>
        <w:pageBreakBefore w:val="0"/>
        <w:widowControl w:val="0"/>
        <w:numPr>
          <w:ilvl w:val="1"/>
          <w:numId w:val="0"/>
        </w:numPr>
        <w:tabs>
          <w:tab w:val="clear" w:pos="567"/>
        </w:tabs>
        <w:kinsoku/>
        <w:wordWrap/>
        <w:overflowPunct/>
        <w:topLinePunct w:val="0"/>
        <w:autoSpaceDE/>
        <w:autoSpaceDN/>
        <w:bidi w:val="0"/>
        <w:spacing w:beforeLines="0" w:line="360" w:lineRule="auto"/>
        <w:ind w:leftChars="0" w:firstLine="480" w:firstLineChars="200"/>
        <w:textAlignment w:val="auto"/>
        <w:rPr>
          <w:rFonts w:hint="default" w:ascii="宋体" w:hAnsi="宋体" w:eastAsia="宋体" w:cs="宋体"/>
          <w:b w:val="0"/>
          <w:color w:val="auto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color w:val="auto"/>
          <w:kern w:val="2"/>
          <w:sz w:val="24"/>
          <w:szCs w:val="24"/>
          <w:highlight w:val="none"/>
          <w:lang w:val="en-US" w:eastAsia="zh-CN" w:bidi="ar-SA"/>
        </w:rPr>
        <w:t>（5）形成新能源协同控制优化运行分析报告1份。协助申报新能源协同控制优化、微电网分层分级集群控制发明专利2项。服务过程中每月提供技术进展、取得成果或认识、存在问题及下一步计划等。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02" w:firstLineChars="200"/>
        <w:textAlignment w:val="auto"/>
        <w:rPr>
          <w:rFonts w:hint="default" w:ascii="宋体" w:hAnsi="宋体" w:eastAsia="宋体" w:cs="宋体"/>
          <w:b/>
          <w:bCs/>
          <w:color w:val="auto"/>
          <w:sz w:val="30"/>
          <w:szCs w:val="30"/>
          <w:highlight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auto"/>
          <w:sz w:val="30"/>
          <w:szCs w:val="30"/>
          <w:highlight w:val="none"/>
          <w:lang w:val="en-US" w:eastAsia="zh-CN"/>
        </w:rPr>
        <w:t>三、报价要求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 xml:space="preserve">1、报价方式：   </w:t>
      </w: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sym w:font="Wingdings 2" w:char="0052"/>
      </w: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 xml:space="preserve">总价报价     □单价报价      </w:t>
      </w: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sym w:font="Wingdings 2" w:char="00A3"/>
      </w: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费率报价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 xml:space="preserve">2、是否需要二次报价：□是  </w:t>
      </w: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sym w:font="Wingdings 2" w:char="0052"/>
      </w: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否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1）本次谈判采用总价报价，设置总价最高限价</w:t>
      </w:r>
      <w:r>
        <w:rPr>
          <w:rFonts w:hint="eastAsia" w:ascii="宋体" w:hAnsi="宋体" w:eastAsia="宋体" w:cs="宋体"/>
          <w:color w:val="auto"/>
          <w:sz w:val="24"/>
          <w:szCs w:val="24"/>
          <w:highlight w:val="none"/>
          <w:lang w:val="en-US" w:eastAsia="zh-CN"/>
        </w:rPr>
        <w:t>24.00万元</w:t>
      </w: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（不含税）。本次谈判报价不含税，成交人在签订合同时执行长庆油田分公司相关规定计入增值税。“供应商”不认可谈判控制价，谈判将被拒绝。应根据国家颁布的有关管理规定及其收费标准，并结合自身实力与经验、市场价格竞争及</w:t>
      </w:r>
      <w:bookmarkStart w:id="0" w:name="_GoBack"/>
      <w:bookmarkEnd w:id="0"/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合同实施风险等因素进行综合考虑后报价。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2）谈判响应报价币种为人民币。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3）除非谈判采购文件中另有规定，“供应商”所报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的价格应包括完成所需进行的一切工作内容的费用摊入。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4）一轮报价须附价格构成清单。格式如下：</w:t>
      </w:r>
    </w:p>
    <w:tbl>
      <w:tblPr>
        <w:tblStyle w:val="11"/>
        <w:tblW w:w="8364" w:type="dxa"/>
        <w:tblInd w:w="15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7"/>
        <w:gridCol w:w="4316"/>
        <w:gridCol w:w="938"/>
        <w:gridCol w:w="766"/>
        <w:gridCol w:w="162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717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lang w:val="en-US" w:eastAsia="zh-CN"/>
              </w:rPr>
              <w:t>序号</w:t>
            </w:r>
          </w:p>
        </w:tc>
        <w:tc>
          <w:tcPr>
            <w:tcW w:w="431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lang w:val="en-US" w:eastAsia="zh-CN"/>
              </w:rPr>
              <w:t>服务内容</w:t>
            </w:r>
          </w:p>
        </w:tc>
        <w:tc>
          <w:tcPr>
            <w:tcW w:w="93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lang w:val="en-US" w:eastAsia="zh-CN"/>
              </w:rPr>
              <w:t>单位</w:t>
            </w:r>
          </w:p>
        </w:tc>
        <w:tc>
          <w:tcPr>
            <w:tcW w:w="76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lang w:val="en-US" w:eastAsia="zh-CN"/>
              </w:rPr>
              <w:t>数量</w:t>
            </w:r>
          </w:p>
        </w:tc>
        <w:tc>
          <w:tcPr>
            <w:tcW w:w="1627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lang w:val="en-US" w:eastAsia="zh-CN"/>
              </w:rPr>
              <w:t>价格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lang w:val="en-US" w:eastAsia="zh-CN"/>
              </w:rPr>
              <w:t>（元，不含税）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7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lang w:val="en-US" w:eastAsia="zh-CN"/>
              </w:rPr>
              <w:t>1</w:t>
            </w:r>
          </w:p>
        </w:tc>
        <w:tc>
          <w:tcPr>
            <w:tcW w:w="4316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auto"/>
              <w:textAlignment w:val="auto"/>
              <w:rPr>
                <w:rFonts w:hint="default" w:ascii="宋体" w:hAnsi="宋体" w:eastAsia="宋体" w:cs="宋体"/>
                <w:color w:val="auto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lang w:val="en-US" w:eastAsia="zh-CN"/>
              </w:rPr>
              <w:t>针对山城区域微电网开展潮流计算模型分析</w:t>
            </w:r>
          </w:p>
        </w:tc>
        <w:tc>
          <w:tcPr>
            <w:tcW w:w="93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lang w:val="en-US" w:eastAsia="zh-CN"/>
              </w:rPr>
              <w:t>项</w:t>
            </w:r>
          </w:p>
        </w:tc>
        <w:tc>
          <w:tcPr>
            <w:tcW w:w="76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lang w:val="en-US" w:eastAsia="zh-CN"/>
              </w:rPr>
              <w:t>1</w:t>
            </w:r>
          </w:p>
        </w:tc>
        <w:tc>
          <w:tcPr>
            <w:tcW w:w="1627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color w:val="auto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717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lang w:val="en-US" w:eastAsia="zh-CN"/>
              </w:rPr>
              <w:t>2</w:t>
            </w:r>
          </w:p>
        </w:tc>
        <w:tc>
          <w:tcPr>
            <w:tcW w:w="4316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auto"/>
              <w:textAlignment w:val="auto"/>
              <w:rPr>
                <w:rFonts w:hint="default" w:ascii="宋体" w:hAnsi="宋体" w:eastAsia="宋体" w:cs="宋体"/>
                <w:color w:val="auto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lang w:val="en-US" w:eastAsia="zh-CN"/>
              </w:rPr>
              <w:t>制定基于油田电网的单微电网最优控制策略</w:t>
            </w:r>
          </w:p>
        </w:tc>
        <w:tc>
          <w:tcPr>
            <w:tcW w:w="93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lang w:val="en-US" w:eastAsia="zh-CN"/>
              </w:rPr>
              <w:t>项</w:t>
            </w:r>
          </w:p>
        </w:tc>
        <w:tc>
          <w:tcPr>
            <w:tcW w:w="76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lang w:val="en-US" w:eastAsia="zh-CN"/>
              </w:rPr>
              <w:t>1</w:t>
            </w:r>
          </w:p>
        </w:tc>
        <w:tc>
          <w:tcPr>
            <w:tcW w:w="1627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color w:val="auto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717" w:type="dxa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auto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lang w:val="en-US" w:eastAsia="zh-CN"/>
              </w:rPr>
              <w:t>3</w:t>
            </w:r>
          </w:p>
        </w:tc>
        <w:tc>
          <w:tcPr>
            <w:tcW w:w="4316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auto"/>
              <w:textAlignment w:val="auto"/>
              <w:rPr>
                <w:rFonts w:hint="default" w:ascii="宋体" w:hAnsi="宋体" w:eastAsia="宋体" w:cs="宋体"/>
                <w:color w:val="auto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lang w:val="en-US" w:eastAsia="zh-CN"/>
              </w:rPr>
              <w:t>开发分层分级的分布式微电网集群控制模型</w:t>
            </w:r>
          </w:p>
        </w:tc>
        <w:tc>
          <w:tcPr>
            <w:tcW w:w="938" w:type="dxa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auto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lang w:val="en-US" w:eastAsia="zh-CN"/>
              </w:rPr>
              <w:t>项</w:t>
            </w:r>
          </w:p>
        </w:tc>
        <w:tc>
          <w:tcPr>
            <w:tcW w:w="766" w:type="dxa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auto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lang w:val="en-US" w:eastAsia="zh-CN"/>
              </w:rPr>
              <w:t>1</w:t>
            </w:r>
          </w:p>
        </w:tc>
        <w:tc>
          <w:tcPr>
            <w:tcW w:w="1627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color w:val="auto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717" w:type="dxa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auto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lang w:val="en-US" w:eastAsia="zh-CN"/>
              </w:rPr>
              <w:t>4</w:t>
            </w:r>
          </w:p>
        </w:tc>
        <w:tc>
          <w:tcPr>
            <w:tcW w:w="4316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auto"/>
              <w:textAlignment w:val="auto"/>
              <w:rPr>
                <w:rFonts w:hint="default" w:ascii="宋体" w:hAnsi="宋体" w:eastAsia="宋体" w:cs="宋体"/>
                <w:color w:val="auto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lang w:val="en-US" w:eastAsia="zh-CN"/>
              </w:rPr>
              <w:t>研究多微电网集群优化控制算法</w:t>
            </w:r>
          </w:p>
        </w:tc>
        <w:tc>
          <w:tcPr>
            <w:tcW w:w="938" w:type="dxa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auto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lang w:val="en-US" w:eastAsia="zh-CN"/>
              </w:rPr>
              <w:t>项</w:t>
            </w:r>
          </w:p>
        </w:tc>
        <w:tc>
          <w:tcPr>
            <w:tcW w:w="766" w:type="dxa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auto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lang w:val="en-US" w:eastAsia="zh-CN"/>
              </w:rPr>
              <w:t>1</w:t>
            </w:r>
          </w:p>
        </w:tc>
        <w:tc>
          <w:tcPr>
            <w:tcW w:w="1627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color w:val="auto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7" w:type="dxa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auto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lang w:val="en-US" w:eastAsia="zh-CN"/>
              </w:rPr>
              <w:t>5</w:t>
            </w:r>
          </w:p>
        </w:tc>
        <w:tc>
          <w:tcPr>
            <w:tcW w:w="4316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auto"/>
              <w:textAlignment w:val="auto"/>
              <w:rPr>
                <w:rFonts w:hint="default" w:ascii="宋体" w:hAnsi="宋体" w:eastAsia="宋体" w:cs="宋体"/>
                <w:color w:val="auto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lang w:val="en-US" w:eastAsia="zh-CN"/>
              </w:rPr>
              <w:t>优化工程应用对接模型</w:t>
            </w:r>
          </w:p>
        </w:tc>
        <w:tc>
          <w:tcPr>
            <w:tcW w:w="93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lang w:val="en-US" w:eastAsia="zh-CN"/>
              </w:rPr>
              <w:t>项</w:t>
            </w:r>
          </w:p>
        </w:tc>
        <w:tc>
          <w:tcPr>
            <w:tcW w:w="76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lang w:val="en-US" w:eastAsia="zh-CN"/>
              </w:rPr>
              <w:t>1</w:t>
            </w:r>
          </w:p>
        </w:tc>
        <w:tc>
          <w:tcPr>
            <w:tcW w:w="1627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color w:val="auto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7" w:type="dxa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auto"/>
              <w:ind w:left="0" w:lef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lang w:val="en-US" w:eastAsia="zh-CN"/>
              </w:rPr>
              <w:t>6</w:t>
            </w:r>
          </w:p>
        </w:tc>
        <w:tc>
          <w:tcPr>
            <w:tcW w:w="4316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color w:val="auto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lang w:val="en-US" w:eastAsia="zh-CN"/>
              </w:rPr>
              <w:t>编制新能源协同控制优化分析报告</w:t>
            </w:r>
          </w:p>
        </w:tc>
        <w:tc>
          <w:tcPr>
            <w:tcW w:w="93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lang w:val="en-US" w:eastAsia="zh-CN"/>
              </w:rPr>
              <w:t>项</w:t>
            </w:r>
          </w:p>
        </w:tc>
        <w:tc>
          <w:tcPr>
            <w:tcW w:w="76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lang w:val="en-US" w:eastAsia="zh-CN"/>
              </w:rPr>
              <w:t>1</w:t>
            </w:r>
          </w:p>
        </w:tc>
        <w:tc>
          <w:tcPr>
            <w:tcW w:w="1627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color w:val="auto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7" w:type="dxa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auto"/>
              <w:ind w:left="0" w:lef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lang w:val="en-US" w:eastAsia="zh-CN"/>
              </w:rPr>
              <w:t>7</w:t>
            </w:r>
          </w:p>
        </w:tc>
        <w:tc>
          <w:tcPr>
            <w:tcW w:w="4316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auto"/>
              <w:textAlignment w:val="auto"/>
              <w:rPr>
                <w:rFonts w:hint="default" w:ascii="宋体" w:hAnsi="宋体" w:eastAsia="宋体" w:cs="宋体"/>
                <w:color w:val="auto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lang w:val="en-US" w:eastAsia="zh-CN"/>
              </w:rPr>
              <w:t>协助总结并提炼形成发明专利</w:t>
            </w:r>
          </w:p>
        </w:tc>
        <w:tc>
          <w:tcPr>
            <w:tcW w:w="93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lang w:val="en-US" w:eastAsia="zh-CN"/>
              </w:rPr>
              <w:t>项</w:t>
            </w:r>
          </w:p>
        </w:tc>
        <w:tc>
          <w:tcPr>
            <w:tcW w:w="76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lang w:val="en-US" w:eastAsia="zh-CN"/>
              </w:rPr>
              <w:t>2</w:t>
            </w:r>
          </w:p>
        </w:tc>
        <w:tc>
          <w:tcPr>
            <w:tcW w:w="1627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color w:val="auto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37" w:type="dxa"/>
            <w:gridSpan w:val="4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lang w:val="en-US" w:eastAsia="zh-CN"/>
              </w:rPr>
              <w:t>合  计（元、不含税）</w:t>
            </w:r>
          </w:p>
        </w:tc>
        <w:tc>
          <w:tcPr>
            <w:tcW w:w="1627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color w:val="auto"/>
                <w:lang w:val="en-US" w:eastAsia="zh-CN"/>
              </w:rPr>
            </w:pPr>
          </w:p>
        </w:tc>
      </w:tr>
    </w:tbl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</w:p>
    <w:p>
      <w:pPr>
        <w:tabs>
          <w:tab w:val="left" w:pos="944"/>
        </w:tabs>
        <w:rPr>
          <w:rFonts w:hint="eastAsia" w:eastAsiaTheme="minorEastAsia"/>
          <w:lang w:eastAsia="zh-CN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0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8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8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62B73A9"/>
    <w:multiLevelType w:val="multilevel"/>
    <w:tmpl w:val="262B73A9"/>
    <w:lvl w:ilvl="0" w:tentative="0">
      <w:start w:val="1"/>
      <w:numFmt w:val="decimal"/>
      <w:pStyle w:val="3"/>
      <w:lvlText w:val="%1."/>
      <w:lvlJc w:val="left"/>
      <w:pPr>
        <w:tabs>
          <w:tab w:val="left" w:pos="425"/>
        </w:tabs>
        <w:ind w:left="425" w:hanging="425"/>
      </w:pPr>
    </w:lvl>
    <w:lvl w:ilvl="1" w:tentative="0">
      <w:start w:val="1"/>
      <w:numFmt w:val="decimal"/>
      <w:pStyle w:val="2"/>
      <w:lvlText w:val="%1.%2."/>
      <w:lvlJc w:val="left"/>
      <w:pPr>
        <w:tabs>
          <w:tab w:val="left" w:pos="567"/>
        </w:tabs>
        <w:ind w:left="567" w:hanging="567"/>
      </w:pPr>
    </w:lvl>
    <w:lvl w:ilvl="2" w:tentative="0">
      <w:start w:val="1"/>
      <w:numFmt w:val="decimal"/>
      <w:pStyle w:val="5"/>
      <w:lvlText w:val="%1.%2.%3."/>
      <w:lvlJc w:val="left"/>
      <w:pPr>
        <w:tabs>
          <w:tab w:val="left" w:pos="709"/>
        </w:tabs>
        <w:ind w:left="709" w:hanging="709"/>
      </w:pPr>
    </w:lvl>
    <w:lvl w:ilvl="3" w:tentative="0">
      <w:start w:val="1"/>
      <w:numFmt w:val="decimal"/>
      <w:lvlText w:val="%1.%2.%3.%4."/>
      <w:lvlJc w:val="left"/>
      <w:pPr>
        <w:tabs>
          <w:tab w:val="left" w:pos="851"/>
        </w:tabs>
        <w:ind w:left="851" w:hanging="851"/>
      </w:pPr>
      <w:rPr>
        <w:rFonts w:ascii="Times New Roman" w:hAnsi="Times New Roman" w:eastAsia="仿宋_GB2312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</w:lvl>
  </w:abstractNum>
  <w:abstractNum w:abstractNumId="1">
    <w:nsid w:val="4FEF68B8"/>
    <w:multiLevelType w:val="singleLevel"/>
    <w:tmpl w:val="4FEF68B8"/>
    <w:lvl w:ilvl="0" w:tentative="0">
      <w:start w:val="1"/>
      <w:numFmt w:val="chineseCounting"/>
      <w:suff w:val="nothing"/>
      <w:lvlText w:val="（%1）"/>
      <w:lvlJc w:val="left"/>
      <w:rPr>
        <w:rFonts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7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833A23"/>
    <w:rsid w:val="01D41C78"/>
    <w:rsid w:val="036F3C16"/>
    <w:rsid w:val="07AD5AF6"/>
    <w:rsid w:val="0A3A6658"/>
    <w:rsid w:val="0C7A3A6F"/>
    <w:rsid w:val="0D341C77"/>
    <w:rsid w:val="0F986784"/>
    <w:rsid w:val="0FF36DBE"/>
    <w:rsid w:val="12B04785"/>
    <w:rsid w:val="1427464B"/>
    <w:rsid w:val="145A3536"/>
    <w:rsid w:val="14F01753"/>
    <w:rsid w:val="1581591C"/>
    <w:rsid w:val="188E7276"/>
    <w:rsid w:val="18E066FF"/>
    <w:rsid w:val="19D14F4F"/>
    <w:rsid w:val="1A832010"/>
    <w:rsid w:val="1B2F6412"/>
    <w:rsid w:val="1D0535AC"/>
    <w:rsid w:val="1D714208"/>
    <w:rsid w:val="1DFD10A0"/>
    <w:rsid w:val="22232162"/>
    <w:rsid w:val="245C0E0A"/>
    <w:rsid w:val="260D4C16"/>
    <w:rsid w:val="27407C75"/>
    <w:rsid w:val="29F574D6"/>
    <w:rsid w:val="2D2412A3"/>
    <w:rsid w:val="2E824B5A"/>
    <w:rsid w:val="2F187F0F"/>
    <w:rsid w:val="30030473"/>
    <w:rsid w:val="320F32FA"/>
    <w:rsid w:val="343F5A22"/>
    <w:rsid w:val="353E5DA2"/>
    <w:rsid w:val="37D819E8"/>
    <w:rsid w:val="3DB34B81"/>
    <w:rsid w:val="40984CCE"/>
    <w:rsid w:val="41AC1E24"/>
    <w:rsid w:val="47A143A2"/>
    <w:rsid w:val="488F16AC"/>
    <w:rsid w:val="48C30946"/>
    <w:rsid w:val="49090629"/>
    <w:rsid w:val="49676FA2"/>
    <w:rsid w:val="49E518A9"/>
    <w:rsid w:val="4AA156C2"/>
    <w:rsid w:val="4B2B3E55"/>
    <w:rsid w:val="4BAF0C8B"/>
    <w:rsid w:val="51B901AE"/>
    <w:rsid w:val="51F95A08"/>
    <w:rsid w:val="546126A0"/>
    <w:rsid w:val="54801C0B"/>
    <w:rsid w:val="57C32C28"/>
    <w:rsid w:val="57E859BE"/>
    <w:rsid w:val="58FD4955"/>
    <w:rsid w:val="5AF93CEE"/>
    <w:rsid w:val="5BAF32C5"/>
    <w:rsid w:val="5C0D6529"/>
    <w:rsid w:val="5D6775FE"/>
    <w:rsid w:val="616A7314"/>
    <w:rsid w:val="619F7A0E"/>
    <w:rsid w:val="62FD64DB"/>
    <w:rsid w:val="6449694D"/>
    <w:rsid w:val="654F2340"/>
    <w:rsid w:val="65C6664E"/>
    <w:rsid w:val="661961BA"/>
    <w:rsid w:val="67A8608A"/>
    <w:rsid w:val="69C31A80"/>
    <w:rsid w:val="6DA60F02"/>
    <w:rsid w:val="6DC84B6C"/>
    <w:rsid w:val="6E466293"/>
    <w:rsid w:val="6E6C6C08"/>
    <w:rsid w:val="6EA72219"/>
    <w:rsid w:val="6F0C601F"/>
    <w:rsid w:val="72A9129B"/>
    <w:rsid w:val="76F938FB"/>
    <w:rsid w:val="7852014B"/>
    <w:rsid w:val="7C625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3">
    <w:name w:val="heading 1"/>
    <w:basedOn w:val="1"/>
    <w:next w:val="4"/>
    <w:qFormat/>
    <w:uiPriority w:val="0"/>
    <w:pPr>
      <w:keepNext/>
      <w:keepLines/>
      <w:numPr>
        <w:ilvl w:val="0"/>
        <w:numId w:val="1"/>
      </w:numPr>
      <w:outlineLvl w:val="0"/>
    </w:pPr>
    <w:rPr>
      <w:rFonts w:ascii="Arial" w:hAnsi="Arial" w:cs="Arial"/>
      <w:b/>
      <w:kern w:val="44"/>
      <w:sz w:val="32"/>
    </w:rPr>
  </w:style>
  <w:style w:type="paragraph" w:styleId="2">
    <w:name w:val="heading 2"/>
    <w:basedOn w:val="1"/>
    <w:next w:val="1"/>
    <w:qFormat/>
    <w:uiPriority w:val="0"/>
    <w:pPr>
      <w:keepNext/>
      <w:numPr>
        <w:ilvl w:val="1"/>
        <w:numId w:val="1"/>
      </w:numPr>
      <w:tabs>
        <w:tab w:val="left" w:pos="425"/>
      </w:tabs>
      <w:spacing w:beforeLines="20"/>
      <w:outlineLvl w:val="1"/>
    </w:pPr>
    <w:rPr>
      <w:rFonts w:ascii="Arial" w:hAnsi="Arial" w:cs="Arial"/>
      <w:b/>
      <w:sz w:val="28"/>
      <w:szCs w:val="28"/>
    </w:rPr>
  </w:style>
  <w:style w:type="paragraph" w:styleId="5">
    <w:name w:val="heading 3"/>
    <w:basedOn w:val="1"/>
    <w:next w:val="4"/>
    <w:qFormat/>
    <w:uiPriority w:val="0"/>
    <w:pPr>
      <w:keepNext/>
      <w:numPr>
        <w:ilvl w:val="2"/>
        <w:numId w:val="1"/>
      </w:numPr>
      <w:spacing w:before="120" w:after="80"/>
      <w:outlineLvl w:val="2"/>
    </w:pPr>
    <w:rPr>
      <w:rFonts w:ascii="Arial" w:hAnsi="Arial" w:cs="Arial"/>
      <w:b/>
      <w:bCs/>
      <w:sz w:val="24"/>
    </w:rPr>
  </w:style>
  <w:style w:type="character" w:default="1" w:styleId="12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正文首行缩进1"/>
    <w:basedOn w:val="1"/>
    <w:qFormat/>
    <w:uiPriority w:val="0"/>
    <w:pPr>
      <w:ind w:firstLine="420" w:firstLineChars="200"/>
    </w:pPr>
  </w:style>
  <w:style w:type="paragraph" w:styleId="6">
    <w:name w:val="Body Text"/>
    <w:basedOn w:val="1"/>
    <w:next w:val="1"/>
    <w:qFormat/>
    <w:uiPriority w:val="0"/>
    <w:pPr>
      <w:spacing w:after="120"/>
    </w:pPr>
    <w:rPr>
      <w:rFonts w:ascii="宋体" w:hAnsi="宋体"/>
      <w:spacing w:val="6"/>
      <w:lang w:eastAsia="en-US" w:bidi="en-US"/>
    </w:rPr>
  </w:style>
  <w:style w:type="paragraph" w:styleId="7">
    <w:name w:val="Plain Text"/>
    <w:basedOn w:val="1"/>
    <w:qFormat/>
    <w:uiPriority w:val="0"/>
    <w:rPr>
      <w:rFonts w:ascii="宋体" w:hAnsi="Courier New"/>
      <w:kern w:val="0"/>
      <w:sz w:val="20"/>
      <w:szCs w:val="20"/>
    </w:rPr>
  </w:style>
  <w:style w:type="paragraph" w:styleId="8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9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11">
    <w:name w:val="Table Grid"/>
    <w:basedOn w:val="10"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3">
    <w:name w:val="文档题目"/>
    <w:basedOn w:val="1"/>
    <w:qFormat/>
    <w:uiPriority w:val="0"/>
    <w:pPr>
      <w:jc w:val="center"/>
      <w:outlineLvl w:val="0"/>
    </w:pPr>
    <w:rPr>
      <w:rFonts w:eastAsia="黑体"/>
      <w:b/>
      <w:sz w:val="44"/>
      <w:szCs w:val="24"/>
    </w:rPr>
  </w:style>
  <w:style w:type="paragraph" w:customStyle="1" w:styleId="14">
    <w:name w:val="ms-rtefontsize-9"/>
    <w:basedOn w:val="1"/>
    <w:qFormat/>
    <w:uiPriority w:val="0"/>
    <w:pPr>
      <w:widowControl/>
      <w:jc w:val="left"/>
    </w:pPr>
    <w:rPr>
      <w:rFonts w:ascii="宋体" w:hAnsi="宋体" w:eastAsia="宋体" w:cs="宋体"/>
      <w:kern w:val="0"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1448</Words>
  <Characters>1548</Characters>
  <Lines>0</Lines>
  <Paragraphs>0</Paragraphs>
  <TotalTime>1362</TotalTime>
  <ScaleCrop>false</ScaleCrop>
  <LinksUpToDate>false</LinksUpToDate>
  <CharactersWithSpaces>1577</CharactersWithSpaces>
  <Application>WPS Office_11.8.2.12309_F1E327BC-269C-435d-A152-05C5408002CA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2025-10-22T01:25:00Z</dcterms:created>
  <dc:creator>ZF</dc:creator>
  <cp:lastModifiedBy>侯皓</cp:lastModifiedBy>
  <dcterms:modified xsi:type="dcterms:W3CDTF">2026-07-03T07:45:44Z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2052-11.8.2.12309</vt:lpwstr>
  </property>
  <property fmtid="{D5CDD505-2E9C-101B-9397-08002B2CF9AE}" pid="3" name="KSOTemplateDocerSaveRecord">
    <vt:lpwstr>eyJoZGlkIjoiOGJkZDVmYjJkMzFmODlhYzg4NzBmN2IwNGUzNmZmYWEiLCJ1c2VySWQiOiI0MTEwMjU3MjgifQ==</vt:lpwstr>
  </property>
  <property fmtid="{D5CDD505-2E9C-101B-9397-08002B2CF9AE}" pid="4" name="ICV">
    <vt:lpwstr>E2BD4E0647A841E490860105AB41EF20_13</vt:lpwstr>
  </property>
</Properties>
</file>