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区域型油田电网新能源协同控制研究所需甲方资料</w:t>
      </w:r>
    </w:p>
    <w:p>
      <w:pPr>
        <w:kinsoku w:val="1"/>
      </w:pPr>
      <w:r>
        <w:rPr>
          <w:b w:val="0"/>
          <w:lang w:val="zh-CN" w:eastAsia="zh-CN"/>
        </w:rPr>
        <w:t>请按本清单补充山城及其他入选微电网尚缺的资料，并确认所列口径与差异。已交文件中的明确内容无需重复提交；可在原图、原表上补充说明或另附对应表。通用要求见第2～7节，区域具体问题见第8节。</w:t>
      </w:r>
    </w:p>
    <w:p>
      <w:r>
        <w:rPr>
          <w:b w:val="0"/>
        </w:rPr>
        <w:t>依据</w:t>
      </w:r>
      <w:hyperlink r:id="rId9">
        <w:r>
          <w:rPr>
            <w:color w:val="000000"/>
            <w:u w:val="single"/>
          </w:rPr>
          <w:t>《技术要求及方案》</w:t>
        </w:r>
      </w:hyperlink>
      <w:r>
        <w:rPr>
          <w:b w:val="0"/>
        </w:rPr>
        <w:t>，研究范围应覆盖不少于3个实际微电网、不少于2个优化子目标，并明确考核点不倒送、平均考核功率因数0.9以上、电压要求及单微网运行经济性提升10%以上的适用对象和正式口径。</w:t>
      </w:r>
    </w:p>
    <w:p>
      <w:pPr>
        <w:pStyle w:val="Heading1"/>
      </w:pPr>
      <w:r>
        <w:rPr>
          <w:b w:val="0"/>
        </w:rPr>
        <w:t>1. 统一提交要求</w:t>
      </w:r>
    </w:p>
    <w:p>
      <w:pPr>
        <w:pStyle w:val="ListBullet"/>
        <w:kinsoku w:val="1"/>
      </w:pPr>
      <w:r>
        <w:rPr>
          <w:b/>
          <w:lang w:val="zh-CN" w:eastAsia="zh-CN"/>
        </w:rPr>
        <w:t>适用对象：</w:t>
      </w:r>
      <w:r>
        <w:rPr>
          <w:lang w:val="zh-CN" w:eastAsia="zh-CN"/>
        </w:rPr>
        <w:t>请确认最终入选区域及其设备范围；尚未明确的光伏、储能、SVG等是否存在或纳入研究，请分别答复。按需资料依适用条件提供，不适用时注明对象及原因。</w:t>
      </w:r>
    </w:p>
    <w:p>
      <w:pPr>
        <w:pStyle w:val="ListBullet"/>
        <w:kinsoku w:val="1"/>
      </w:pPr>
      <w:r>
        <w:rPr>
          <w:b/>
          <w:lang w:val="zh-CN" w:eastAsia="zh-CN"/>
        </w:rPr>
        <w:t>资料标识：</w:t>
      </w:r>
      <w:r>
        <w:rPr>
          <w:lang w:val="zh-CN" w:eastAsia="zh-CN"/>
        </w:rPr>
        <w:t>补充资料注明本清单编号、区域/设备、覆盖时间、来源、版本或导出日期、生效日期及确认部门/人员。已交文件可统一附有效性确认和条目对应；名称、编号、接线或倍率有差异/变更时，补充对照及生效时间。</w:t>
      </w:r>
    </w:p>
    <w:p>
      <w:pPr>
        <w:pStyle w:val="ListBullet"/>
        <w:kinsoku w:val="1"/>
      </w:pPr>
      <w:r>
        <w:rPr>
          <w:b/>
          <w:lang w:val="zh-CN" w:eastAsia="zh-CN"/>
        </w:rPr>
        <w:t>缺项反馈：</w:t>
      </w:r>
      <w:r>
        <w:rPr>
          <w:lang w:val="zh-CN" w:eastAsia="zh-CN"/>
        </w:rPr>
        <w:t>尚不能提供、无量测或不适用的内容，请注明对象、字段、时段、原因及可用替代依据；如能确定，说明预计补充时间。同一资料对应多个条目时引用一次即可。</w:t>
      </w:r>
    </w:p>
    <w:p>
      <w:pPr>
        <w:pStyle w:val="ListBullet"/>
        <w:kinsoku w:val="1"/>
      </w:pPr>
      <w:r>
        <w:rPr>
          <w:b/>
          <w:lang w:val="zh-CN" w:eastAsia="zh-CN"/>
        </w:rPr>
        <w:t>补充形式：</w:t>
      </w:r>
      <w:r>
        <w:rPr>
          <w:lang w:val="zh-CN" w:eastAsia="zh-CN"/>
        </w:rPr>
        <w:t>可沿用现有PDF、CAD、Excel/CSV或系统原始导出格式；仅补缺页、字段、对象、时段及说明。已有图纸无需重绘，可获得的原始数据请勿仅以截图或汇总值替代。</w:t>
      </w:r>
    </w:p>
    <w:p>
      <w:pPr>
        <w:pStyle w:val="ListBullet"/>
        <w:kinsoku w:val="1"/>
      </w:pPr>
      <w:r>
        <w:rPr>
          <w:b/>
          <w:lang w:val="zh-CN" w:eastAsia="zh-CN"/>
        </w:rPr>
        <w:t>数据说明：</w:t>
      </w:r>
      <w:r>
        <w:rPr>
          <w:lang w:val="zh-CN" w:eastAsia="zh-CN"/>
        </w:rPr>
        <w:t>已交工作表和表头可直接引用，请补单位、倍率、时间和质量口径；新增文件附字段对应，CSV建议UTF-8，Excel公式列保留正确有效值，专有格式或特殊时间编码附解释。</w:t>
      </w:r>
    </w:p>
    <w:p>
      <w:pPr>
        <w:pStyle w:val="ListBullet"/>
        <w:kinsoku w:val="1"/>
      </w:pPr>
      <w:r>
        <w:rPr>
          <w:b/>
          <w:lang w:val="zh-CN" w:eastAsia="zh-CN"/>
        </w:rPr>
        <w:t>原始记录：</w:t>
      </w:r>
      <w:r>
        <w:rPr>
          <w:lang w:val="zh-CN" w:eastAsia="zh-CN"/>
        </w:rPr>
        <w:t>补充数据保留原生采样间隔；转换、聚合、估计、插值或人工修正注明方法、依据和标识。缺失、通信异常、无效值与真实零值分开说明，原表异常记录的补正请求见16。</w:t>
      </w:r>
    </w:p>
    <w:p>
      <w:r>
        <w:rPr>
          <w:b w:val="0"/>
        </w:rPr>
        <w:t>文中P为有功功率，Q为无功功率，S为视在功率/容量，SOC为储能荷电状态；额定参数与实际运行量分别提供。</w:t>
      </w:r>
    </w:p>
    <w:p>
      <w:pPr>
        <w:pStyle w:val="Heading1"/>
      </w:pPr>
      <w:r>
        <w:rPr>
          <w:b w:val="0"/>
        </w:rPr>
        <w:t>2. 研究范围、网络与设备台账</w:t>
      </w:r>
    </w:p>
    <w:tbl>
      <w:tblPr>
        <w:tblW w:type="dxa" w:w="997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1871"/>
        <w:gridCol w:w="6231"/>
      </w:tblGrid>
      <w:tr>
        <w:trPr>
          <w:cantSplit/>
          <w:tblHeader w:val="1"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编号及资料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适用对象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  <w:kinsoku w:val="1"/>
            </w:pPr>
            <w:r>
              <w:rPr>
                <w:b/>
                <w:sz w:val="21"/>
                <w:lang w:val="zh-CN" w:eastAsia="zh-CN"/>
              </w:rPr>
              <w:t>请补充或确认的具体内容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01 区域与计量边界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全部入选微电网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在《西交大-资料提供》第1～4页项目及接入资料基础上，确认最终入选微电网、稳定编号和研究范围；标注各区域具体PCC、考核点及多个连接点的编号和物理边界。补充场站、发电项目、微电网范围不一致时的设备、负荷及边界间损耗归属。山城边界的具体对应见第8.1节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02 区域协同关系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各区域及协调中心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《西交大-资料提供》第1～4页、第10页已有通信汇聚及控制层级说明。请补充各入选区域电气联络与信息联络的对应、公共受电通道端点、限额及分配依据、P/Q交换边界；确认协调中心权限、单区域与集群考核及结算关系。说明共享信息、交换周期、计划发布和采用时刻、跟踪误差及信息缺失规则；无共同通道或结算安排时注明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03 一次接线图与接入台账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研究范围内全部设备和负荷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在已有接线图、站级截图和《西交大-资料提供》第5～9页台账基础上补齐设备唯一编号、母线与支路端点及图表对应，重点补充风机升压变、储能/SVG连接设备、刀闸和并网/解列开关。确认在役设备数量、负荷聚合成员、缺失负荷接入及无负荷节点；未覆盖的入选对象补充有效接线资料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04 线路与电缆参数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各线路、电缆及联络支路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针对《西交大-资料提供》第5～9页已列线路，请补充逐支路R/X、两端母线对应、回路数及限额适用条件；R/X注明整段或每公里值、单位和来源，标幺值附电压/容量基准。解释混合架空/电缆及连续两个长度的含义，确认负载率口径。未列支路补充型号、长度及允许电流/容量或调度限额，充电参数如有一并提供。化子坪、榆树具体疑点见第8.2节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05 变压器参数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主变、升压变及其他连接变压器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《西交大-资料提供》第5～9页已列部分额定、分接和试验参数。请补充缺失的负载损耗/短路试验或可确定R/X的参数，说明试验单位、温度和容量基准；补齐各侧母线、实际档位与变比对应、正常档位、并列条件及允许负载。未覆盖的升压变、连接变及纳入范围的山城主变补充完整额定/接线/分接和试验参数，多绕组对象附成对试验参数。化子坪、榆树损耗缺口见第8.2节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06 固定补偿设备参数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电容器、电抗器等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依据《西交大-资料提供》第5～9页电容器参数及接线截图，补齐唯一编号、额定电压、接入分段对应、可独立投切组数、在役容量及运行限值。未覆盖的电容器/电抗器补充参数；所选时段投切记录按17提供。化子坪、榆树分组疑点见第8.2节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07 短路及暂态资料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相关研究适用时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《母线容量、阻抗.xlsx》“数据第1页”A3:T23已列9站18条母线短路等值及方式。请补充短路容量等未标清字段的单位、计算基准、日期/版本及适用工况，解释零序“∞”和零值的含义。相关研究适用时，补充山城等未覆盖对象的短路等值及已有暂态模型/试验资料。逐支路R/X另按04补充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insoku w:val="1"/>
      </w:pPr>
      <w:r>
        <w:rPr>
          <w:b w:val="0"/>
          <w:lang w:val="zh-CN" w:eastAsia="zh-CN"/>
        </w:rPr>
        <w:t>缺失参数无整理表时，可提供对应设计、厂家或试验资料；同一设备的历史状态统一按17补充。</w:t>
      </w:r>
    </w:p>
    <w:p>
      <w:pPr>
        <w:pStyle w:val="Heading1"/>
      </w:pPr>
      <w:r>
        <w:rPr>
          <w:b w:val="0"/>
        </w:rPr>
        <w:t>3. 设备能力与运行限值</w:t>
      </w:r>
    </w:p>
    <w:tbl>
      <w:tblPr>
        <w:tblW w:type="dxa" w:w="997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1871"/>
        <w:gridCol w:w="6231"/>
      </w:tblGrid>
      <w:tr>
        <w:trPr>
          <w:cantSplit/>
          <w:tblHeader w:val="1"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编号及资料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适用对象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  <w:kinsoku w:val="1"/>
            </w:pPr>
            <w:r>
              <w:rPr>
                <w:b/>
                <w:sz w:val="21"/>
                <w:lang w:val="zh-CN" w:eastAsia="zh-CN"/>
              </w:rPr>
              <w:t>请补充或确认的具体内容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08 风机及光伏能力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实际风机、光伏场站或经确认的聚合对象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将已列风机/光伏与实际在役设备、铭牌及控制对象对应，补充S容量、厂家P/Q能力曲线、有功无功耦合、实际可用出力、降额条件及适用电压/温度。针对《西交大-资料提供》第9页的一般控制范围，确认无功方向、P的基准、适用设备/模式及调度权限；未覆盖设备补充额定和可控边界。山城比例差异见第8.1节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09 储能容量与能量边界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实际储能、PCS及电池组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补充实际可用MWh、衰减、退出组及可用率，说明SOC容量基准和能量换算；提供起始SOC/能量及时间戳、期末与备用要求。补齐PCS的S/P/Q能力、降额、充放电效率及量测边界，附有效说明书或整定依据。未覆盖储能补充额定规模及正常/保护边界；山城SOC、充放功率和模式差异统一按第8.1节澄清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10 SVG能力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实际SVG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将《西交大-资料提供》第9页SVG资料与实际在役设备/铭牌对应，确认实际允许Q范围及适用工况，补充降额条件和有效依据；说明第10页可选模式中现场实际采用的模式。未覆盖SVG补充额定及允许范围。山城额定容量、调度范围与本地目标的对应见第8.1节，响应性能见11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11 调节与响应性能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全部可调设备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补充各可调设备的指令粒度、最小调整量、死区数值、P/Q爬坡率、延迟、稳定时间、上下调差异、限幅及量测精度，并说明已交控制范围在当前接线、模式和权限下是否有效。实际响应记录按29提供；专门动态试验资料按研究适用条件提供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12 电压限值与考核口径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各区域、电压等级、母线/PCC及工况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提供各区域、电压等级和母线/PCC在正常、检修、故障工况下的最低/最高运行电压，注明kV、百分比或标幺基准及线/相口径；附标准编号、版本、条款和现场调度依据。说明逐点或时窗考核、采样/统计周期及方法；允许短时偏差时给出范围、持续时间和条件，并说明运行限值、优化目标及保护动作定值的适用关系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13 受送电、功率因数及供电要求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PCC、通道及正式考核点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补充各PCC、通道及考核点实际P/Q允许交换范围、裕度、测量容差和批准依据，明确“不倒送”的考核时间分辨率。说明“平均考核功率因数0.9以上”采用电量还是瞬时功率、平均方法、统计周期、方向及低负荷/零交换处理；其他供电约束注明对象及工况。具体考核点映射按01补充，已有PF数据的疑点见16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</w:pPr>
      <w:r>
        <w:rPr>
          <w:b w:val="0"/>
        </w:rPr>
        <w:t>4. 点表、计量与运行数据</w:t>
      </w:r>
    </w:p>
    <w:p>
      <w:pPr>
        <w:keepNext/>
        <w:kinsoku w:val="1"/>
      </w:pPr>
      <w:r>
        <w:rPr>
          <w:b w:val="0"/>
          <w:lang w:val="zh-CN" w:eastAsia="zh-CN"/>
        </w:rPr>
        <w:t>请围绕现有历史表和实际在线接口补充缺失的点表、计量、时间及质量说明，同一对象只需提供一份。</w:t>
      </w:r>
    </w:p>
    <w:tbl>
      <w:tblPr>
        <w:tblW w:type="dxa" w:w="997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1871"/>
        <w:gridCol w:w="6231"/>
      </w:tblGrid>
      <w:tr>
        <w:trPr>
          <w:cantSplit/>
          <w:tblHeader w:val="1"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编号及资料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适用对象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  <w:kinsoku w:val="1"/>
            </w:pPr>
            <w:r>
              <w:rPr>
                <w:b/>
                <w:sz w:val="21"/>
                <w:lang w:val="zh-CN" w:eastAsia="zh-CN"/>
              </w:rPr>
              <w:t>请补充或确认的具体内容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14 测点与字段字典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全部遥测、遥信及历史数据字段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为《线路负荷统计0901.xlsx》现有字段补充系统原始点号、设备/支路端侧对应、数值单位、PT/CT及工程倍率是否已换算、量程、三相总量/分相及直接量测/计算属性。确认各字段与已交母线—线路、山城南北向符号规则的对应，补齐不明确字段的正负方向。补充未覆盖的设备量测、可用出力、累计电量及状态点表；映射/倍率变更注明生效时间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15 计量覆盖与上下级关系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设备、场站、馈线、母线及负荷测点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说明已交线路记录是纯负荷还是含下游风光储的净交换量，补充各测点覆盖设备、聚合成员、下级测点及重叠关系。明确设备端/并网端计量，线路、变压器、站用电、风机/储能自耗、SVG损耗归属及是否计入其他测点。需要分项或等值数据时，补充可用分项、分配范围、比例来源、适用时段及确认依据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16 时标、状态与质量规则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各数据源和现场系统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请补充现有小时记录的时区、瞬时/区间平均口径、时间戳含义、原生采样与导出关系、对时方式/精度及已知偏差；确认单点时效和跨点对齐容差（秒），附质量码、人工/估计标识及状态枚举、极性、变位规则。</w:t>
            </w:r>
          </w:p>
          <w:p>
            <w:pPr>
              <w:spacing w:before="80" w:after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《线路负荷统计0901.xlsx》“大天线、宋天线”A536:Q541、A1655:Q1658存在损坏字段和疑似错列，请重新导出对应原始记录并说明影响范围；核实A537、A539、A541、A1656:A1658的时间，G538的公式拼接结果及I538的#NAME?错误，无法恢复时标明无效。</w:t>
            </w:r>
          </w:p>
          <w:p>
            <w:pPr>
              <w:spacing w:before="80" w:after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“旦榆线、西榆线”E2:E8749、I2:I8749有PF绝对值大于1的记录，如E244=-1.009、I5644=1.008；请说明计算、符号、精度及有效性规则。结合状态/质量码解释西榆线F:I列有功为零而Q/I非零及其他线路/母线成段零值的实际含义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17 运行方式记录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所选历史时刻及连续时段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提供所选历史时段带完整日期的初始运行方式及变更记录：线路、开关/刀闸、母联、并网/解列状态，主变并列/单台运行、实际分接档位，设备检修投退和电容器分组投切；特殊孤岛、合环、多并网点等按实际说明。已有站级截图请补其完整采集日期及与历史记录的对应；短路表计算方式请确认是否适用于所选时段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18 同期历史量测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研究范围内全部电源、储能、补偿设备和负荷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《线路负荷统计0901.xlsx》六个工作表已有2025-09-01 00:00至2026-08-31 11:00主体时段的小时线路P/Q/I/PF及母线线/相电压记录。请仅补充未覆盖的山城、化子坪及其他入选对象记录，以及逐台风机、实际光伏、储能P/Q/SOC/状态、SVG Q/投退/可用有功损耗、负荷P/Q、主变两端及购售电量等缺失字段。</w:t>
            </w:r>
          </w:p>
          <w:p>
            <w:pPr>
              <w:spacing w:before="80" w:after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补充缺失PCC/上级连接母线、线路/主变两端量测及可获得的原生更细记录；标明各区域共同覆盖时段。无直接Q量测时提供同期推导依据、PF定义和Q方向；停运零出力、无负荷或忽略损耗等附状态或简化依据。字段、质量和运行方式分别按14～17补充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19 预测、计划及限发记录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负荷、每台风机及实际光伏等对象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提供日前/日内负荷P/Q、逐台风机及实际光伏的预测P或可用P，注明每次发布时间、目标时段起止、步长、原始版本、来源与质量。补充实际采用的调度计划、调整记录、限发/恢复指令、生效时间、原因及可用出力估计依据，区分主动限发、资源不足、故障及天气影响；实绩引用18。气象原始资料按预测研究适用条件提供站点、风速/风向/辐照度/温度及时间口径，无需提供时注明不适用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20 独立校核及已有报告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可获得的校核量测和潮流报告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在已有及补充量测中标明用于负荷统计、反推或参数校准的记录，以及可独立校核的记录；其他时段资料如有一并提供。补充仪表/导出精度、已知质量问题、现行误差或校核标准；已有潮流报告附对应输入、时刻和模型版本，无报告或不适用时说明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insoku w:val="1"/>
      </w:pPr>
      <w:r>
        <w:rPr>
          <w:b/>
          <w:lang w:val="zh-CN" w:eastAsia="zh-CN"/>
        </w:rPr>
        <w:t>补充时段与分辨率：</w:t>
      </w:r>
      <w:r>
        <w:rPr>
          <w:lang w:val="zh-CN" w:eastAsia="zh-CN"/>
        </w:rPr>
        <w:t>已交六表的相同小时记录无需重复提供。缺失对象建议提供连续7～30天，尽量与已有记录及其他入选区域同期，覆盖完整运行日、昼夜/风光变化、储能充放电和补偿切换等代表性工况；季节差异明显时附典型日。标明共同覆盖时段及不足之处；计划采用已有15分钟记录，响应采用已有1分钟或更细记录，事件保留原生时标。仅有其他间隔时据实说明，无需插值或重复填充以增加分辨率。</w:t>
      </w:r>
    </w:p>
    <w:p>
      <w:pPr>
        <w:pStyle w:val="Heading1"/>
      </w:pPr>
      <w:r>
        <w:rPr>
          <w:b w:val="0"/>
        </w:rPr>
        <w:t>5. 现行控制规则与事件记录</w:t>
      </w:r>
    </w:p>
    <w:tbl>
      <w:tblPr>
        <w:tblW w:type="dxa" w:w="997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1871"/>
        <w:gridCol w:w="6231"/>
      </w:tblGrid>
      <w:tr>
        <w:trPr>
          <w:cantSplit/>
          <w:tblHeader w:val="1"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编号及资料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适用对象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  <w:kinsoku w:val="1"/>
            </w:pPr>
            <w:r>
              <w:rPr>
                <w:b/>
                <w:sz w:val="21"/>
                <w:lang w:val="zh-CN" w:eastAsia="zh-CN"/>
              </w:rPr>
              <w:t>请补充或确认的具体内容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21 运行策略、权限及异常恢复规则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各区域、场站和实际受控设备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确认已交山城策略、群控策略及《西交大-资料提供》第10～11页D5000说明的现行版本、批准依据和适用区域/设备，补齐未给定的阈值、门槛、灵敏系数、持续时间、计时、防抖周期、二次限发条件、恢复增量及偏差容限。</w:t>
            </w:r>
          </w:p>
          <w:p>
            <w:pPr>
              <w:spacing w:before="80" w:after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补充调度、站控、保护、人工与优化系统的控制权和冲突仲裁、禁止写入条件，以及坏质量、过期、断连、命令超时/失败后的保持、退出、闭锁和人工复归规则；未覆盖区域或设备提供其现行规则。山城及群控具体差异统一见第8.1节，命令和响应字段按28～29提供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22 异常事件与风险预测依据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存在相应记录或服务的区域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补充已有负荷突降、风机停机、风光大发、PCC倒送、坏质量、通信中断、指令超时及恢复事件的时间、量测、策略版本、命令、回执、响应和操作记录。针对《群调群控调控策略》第2页提及的倒送风险概率，请说明是否使用实际服务；使用时补充服务来源、发布时间/有效期、预测窗口、实际输出及历史校验/效果记录，无服务或记录时说明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insoku w:val="1"/>
      </w:pPr>
      <w:r>
        <w:rPr>
          <w:b w:val="0"/>
          <w:lang w:val="zh-CN" w:eastAsia="zh-CN"/>
        </w:rPr>
        <w:t>策略数值边界、量测及计划分别按第3～4节补充；命令和响应字段见28～29，相同资料引用一次即可。</w:t>
      </w:r>
    </w:p>
    <w:p>
      <w:pPr>
        <w:pStyle w:val="Heading1"/>
      </w:pPr>
      <w:r>
        <w:rPr>
          <w:b w:val="0"/>
        </w:rPr>
        <w:t>6. 经济性资料与业务口径</w:t>
      </w:r>
    </w:p>
    <w:tbl>
      <w:tblPr>
        <w:tblW w:type="dxa" w:w="997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1871"/>
        <w:gridCol w:w="6231"/>
      </w:tblGrid>
      <w:tr>
        <w:trPr>
          <w:cantSplit/>
          <w:tblHeader w:val="1"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编号及资料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适用对象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  <w:kinsoku w:val="1"/>
            </w:pPr>
            <w:r>
              <w:rPr>
                <w:b/>
                <w:sz w:val="21"/>
                <w:lang w:val="zh-CN" w:eastAsia="zh-CN"/>
              </w:rPr>
              <w:t>请补充或确认的具体内容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23 电价及结算资料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各区域正式结算点及评价期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提供各正式结算点在评价期内的购电价、峰谷时段及有效期、售电/余电规则、电量和账单明细；补充基本电费、需量电费及功率因数调整的适用规则、计费周期与对应记录。注明元/kWh或元/MWh、含税口径、计量边界及线路/设备损耗是否已包含在结算中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24 其他费用依据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拟计入储能退化、运维或弃电成本时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拟计入储能退化、运维或弃电成本时，请提供可获得的寿命/质保条件、费用记录、补偿规则或测算依据；注明来源、适用设备和时期，区分实际结算费用与测算值，无依据或不适用时说明。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25 已有评价文件及待确认口径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各评价对象及业务目标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提供已有考核文件、评价报告、指标定义、确认表或会议纪要；明确“运行经济性提升10%以上”对应的指标、费用范围、评价起止/统计周期、数据时段及已有典型日、异常/缺失数据规定。补充正式评价基准及依据、设备范围、历史时期和人工操作记录；已交策略仅需确认其与评价期的对应及有效性。选择不少于2个优化子目标，注明含义、单位、业务偏好及已有正式权重/优先顺序，未明确的口径请确认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insoku w:val="1"/>
      </w:pPr>
      <w:r>
        <w:rPr>
          <w:b w:val="0"/>
          <w:lang w:val="zh-CN" w:eastAsia="zh-CN"/>
        </w:rPr>
        <w:t>请注明价格、账单、运行记录、策略有效版本及评价期的共同覆盖范围和差异；运行约束见01～13，策略见21，实绩与计划见17～19。</w:t>
      </w:r>
    </w:p>
    <w:p>
      <w:pPr>
        <w:pStyle w:val="Heading1"/>
        <w:pageBreakBefore/>
      </w:pPr>
      <w:r>
        <w:rPr>
          <w:b w:val="0"/>
        </w:rPr>
        <w:t>7. 工程接口、命令及已有测试资料</w:t>
      </w:r>
    </w:p>
    <w:tbl>
      <w:tblPr>
        <w:tblW w:type="dxa" w:w="997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1871"/>
        <w:gridCol w:w="6231"/>
      </w:tblGrid>
      <w:tr>
        <w:trPr>
          <w:cantSplit/>
          <w:tblHeader w:val="1"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编号及资料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适用对象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  <w:kinsoku w:val="1"/>
            </w:pPr>
            <w:r>
              <w:rPr>
                <w:b/>
                <w:sz w:val="21"/>
                <w:lang w:val="zh-CN" w:eastAsia="zh-CN"/>
              </w:rPr>
              <w:t>请补充或确认的具体内容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26 系统边界与接口规范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实际D5000、SCADA、站端控制器、网关或其他对接系统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在已交通信汇聚路径和D5000—站端控制层级基础上，补充实际对接系统自身的名称/版本、供货维护单位、部署/网络边界、接入位置、主备关系、网关/转发及读写职责。提供实际协议/API/文件交换版本、接口文档、地址/字段类型、精度/字节序、调用限制、错误码及请求响应/报文样例；已有SDK、测试工具或模拟端注明获取条件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27 通信性能与只读样例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现场接口与数据链路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提供现场接口的周期/变化上送、死区、心跳、超时、补采、重连、重复/乱序及主备切换规则；补充时延、丢包、中断统计与原始日志，注明时段、测量方法和时间单位。提供可获得的正常、零值、坏质量、过期、断连/恢复、重复/乱序及主备切换只读样例，附对象和含义；点表与时标质量按14～16补充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28 控制点、命令与回执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实际遥控遥调接口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将策略中的P/Q目标、增量/限值及启停/模式动作对应到实际可控对象和点号，补充命令编码、数值单位/倍率、实际接口方向、范围、步长/速率及百分比基准。提供请求标识、有效期、执行时刻、选择执行、撤销/替换、重复请求、并发优先级与主备规则。</w:t>
            </w:r>
          </w:p>
          <w:p>
            <w:pPr>
              <w:spacing w:before="80" w:after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补充命令—设备关联、受理/拒绝/执行中/完成/失败/超时码表、各阶段时标、错误原因、设定回读及执行后遥测样例；说明通信送达、设定回读和物理响应的对应，超时后可确认的执行状态及反馈缺项。权限与闭锁补充内容见21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29 实际响应与达标记录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已有设备试验、运行或联调记录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提供已有设备试验、运行或联调记录中同一命令的指令值、返校值、实际P/Q、响应起止时间及当时SOC/可用出力限制，附现行达标判据和依据。提供可追踪“请求—受理—返校—实际响应”的成功、拒绝、超时及恢复样例，按可获得情况提供并注明反馈缺项；性能参数见11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30 访问、测试条件及验收资料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</w:pPr>
            <w:r>
              <w:rPr>
                <w:b w:val="0"/>
                <w:sz w:val="21"/>
              </w:rPr>
              <w:t>实际测试环境、现场及资料交付渠道</w:t>
            </w:r>
          </w:p>
        </w:tc>
        <w:tc>
          <w:tcPr>
            <w:tcW w:type="dxa" w:w="62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提供测试账号申请、角色权限、网络审批、加密/证书、审计、数据使用/保存要求及受控资料渠道；补充测试环境、允许对象/动作范围、可用时段、联系人、停止和退出条件，以及已有批准文件、测试日志、联调和验收要求/记录。注明测试环境或现场及覆盖范围；真实密码、密钥和证书私钥通过受控渠道处理。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</w:pPr>
      <w:r>
        <w:rPr>
          <w:b w:val="0"/>
        </w:rPr>
        <w:t>8. 区域特有资料及待澄清事项</w:t>
      </w:r>
    </w:p>
    <w:p>
      <w:pPr>
        <w:keepNext/>
        <w:kinsoku w:val="1"/>
      </w:pPr>
      <w:r>
        <w:rPr>
          <w:b w:val="0"/>
          <w:lang w:val="zh-CN" w:eastAsia="zh-CN"/>
        </w:rPr>
        <w:t>以下列出区域具体缺口和待确认差异，与通用条目对应反馈即可，无需重复准备。PDF页码均从文件第一页起计；说明现行有效依据。</w:t>
      </w:r>
    </w:p>
    <w:p>
      <w:pPr>
        <w:pStyle w:val="Heading2"/>
      </w:pPr>
      <w:r>
        <w:rPr>
          <w:b w:val="0"/>
        </w:rPr>
        <w:t>8.1 山城</w:t>
      </w:r>
    </w:p>
    <w:p>
      <w:pPr>
        <w:keepNext/>
        <w:kinsoku w:val="1"/>
      </w:pPr>
      <w:r>
        <w:rPr>
          <w:b w:val="0"/>
          <w:lang w:val="zh-CN" w:eastAsia="zh-CN"/>
        </w:rPr>
        <w:t>请结合《山城微电网控制策略逻辑》和《西交大-资料提供》中的原图、原表反馈以下具体问题。</w:t>
      </w:r>
    </w:p>
    <w:tbl>
      <w:tblPr>
        <w:tblW w:type="dxa" w:w="997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6860"/>
        <w:gridCol w:w="1242"/>
      </w:tblGrid>
      <w:tr>
        <w:trPr>
          <w:cantSplit/>
          <w:tblHeader w:val="1"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编号及事项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请提供或确认的区域特有内容</w:t>
            </w:r>
          </w:p>
        </w:tc>
        <w:tc>
          <w:tcPr>
            <w:tcW w:type="dxa" w:w="12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对应通用条目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31 研究边界与接线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将《西交大-资料提供》第4页所述“山城变扩建间隔”与站级图、山城策略第1页的35kV支路及开关编号对应，确认项目山城区边界和站内主变/负荷是否纳入。补齐两台风机升压变、储能/SVG连接设备、刀闸及并网/解列开关端点，并区分35kV母线侧和设备机端测点。</w:t>
            </w:r>
          </w:p>
        </w:tc>
        <w:tc>
          <w:tcPr>
            <w:tcW w:type="dxa" w:w="12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jc w:val="center"/>
              <w:kinsoku w:val="1"/>
            </w:pPr>
            <w:r>
              <w:rPr>
                <w:b w:val="0"/>
                <w:sz w:val="21"/>
                <w:lang w:val="zh-CN" w:eastAsia="zh-CN"/>
              </w:rPr>
              <w:t>01、03、14～17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32 光伏与负荷范围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请明确山城是否存在光伏及是否纳入研究；存在时补充场站、装机和实际接入，确认《西交大-资料提供》第9页光伏纯有功规则是否适用。说明扩建间隔微电网实际覆盖的负荷，以及站用电、风机/储能自耗归属。</w:t>
            </w:r>
          </w:p>
        </w:tc>
        <w:tc>
          <w:tcPr>
            <w:tcW w:type="dxa" w:w="12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jc w:val="center"/>
              <w:kinsoku w:val="1"/>
            </w:pPr>
            <w:r>
              <w:rPr>
                <w:b w:val="0"/>
                <w:sz w:val="21"/>
                <w:lang w:val="zh-CN" w:eastAsia="zh-CN"/>
              </w:rPr>
              <w:t>03、08、15、18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33 风机能力与策略边界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核实两台风机的在役身份，并说明山城策略第1页图示±33%额定Pn、第3和5页0.30×当前P，与《西交大-资料提供》第9页一般33.3%P规则各自的P基准、无功方向、适用设备/模式及现行版本；附与厂家能力曲线的对应依据。</w:t>
            </w:r>
          </w:p>
        </w:tc>
        <w:tc>
          <w:tcPr>
            <w:tcW w:type="dxa" w:w="12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jc w:val="center"/>
              <w:kinsoku w:val="1"/>
            </w:pPr>
            <w:r>
              <w:rPr>
                <w:b w:val="0"/>
                <w:sz w:val="21"/>
                <w:lang w:val="zh-CN" w:eastAsia="zh-CN"/>
              </w:rPr>
              <w:t>08、21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34 储能容量与SOC冲突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说明山城策略第1页15%～85%、转述说明书5%～95%与第2页SOCmin/SOCmax各属正常控制还是BMS保护边界、适用模式及现行有效值。解释第1页“375kW～2125kW”充放范围与SOC比例的关系、所表示的量及其与第2页默认2MW充电的对应。确认2.5MW/2h额定规模对应的实际可用MWh，以及第2页Q=0和SOC边界停止规则是否现行有效，附说明书/整定依据。</w:t>
            </w:r>
          </w:p>
        </w:tc>
        <w:tc>
          <w:tcPr>
            <w:tcW w:type="dxa" w:w="12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jc w:val="center"/>
              <w:kinsoku w:val="1"/>
            </w:pPr>
            <w:r>
              <w:rPr>
                <w:b w:val="0"/>
                <w:sz w:val="21"/>
                <w:lang w:val="zh-CN" w:eastAsia="zh-CN"/>
              </w:rPr>
              <w:t>09、21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35 SVG参数口径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确认《西交大-资料提供》第9页山城2Mvar、山城策略第1/3/5页±1.8Mvar及第2页本地容性1.5Mvar分别对应的设备、额定能力、调度范围或目标、控制模式和有效版本；说明一般“±额定功率”规则对山城实际调度的适用关系。</w:t>
            </w:r>
          </w:p>
        </w:tc>
        <w:tc>
          <w:tcPr>
            <w:tcW w:type="dxa" w:w="12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jc w:val="center"/>
              <w:kinsoku w:val="1"/>
            </w:pPr>
            <w:r>
              <w:rPr>
                <w:b w:val="0"/>
                <w:sz w:val="21"/>
                <w:lang w:val="zh-CN" w:eastAsia="zh-CN"/>
              </w:rPr>
              <w:t>10、21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36 充放电时段及闭锁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澄清山城策略第1页17～20时与第2页20～23时放电的差异，给出现行有效时段，并确认已列12～15时充电、默认2MW及调度切换规则的适用模式。针对第2页共25个闭锁取或的规则，补充各BMS/PCS及总闭锁的具体点号、含义、极性和复归关系。</w:t>
            </w:r>
          </w:p>
        </w:tc>
        <w:tc>
          <w:tcPr>
            <w:tcW w:type="dxa" w:w="12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jc w:val="center"/>
              <w:kinsoku w:val="1"/>
            </w:pPr>
            <w:r>
              <w:rPr>
                <w:b w:val="0"/>
                <w:sz w:val="21"/>
                <w:lang w:val="zh-CN" w:eastAsia="zh-CN"/>
              </w:rPr>
              <w:t>16、21、28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37 群控规则适用性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确认《群调群控调控策略》是否适用于山城实际受控场站及有效版本。说明第1页负荷变化率15分钟周期与第3页连续3次、5次中3次判据周期是否相同；确认第3页恢复图“高于安全阈值”和正文“高于恢复阈值”以何者为准。说明图中暂停3分钟与第4页“如3分钟”的关系，给出现行观察时长、阈值、灵敏系数、恢复比例及容差。</w:t>
            </w:r>
          </w:p>
        </w:tc>
        <w:tc>
          <w:tcPr>
            <w:tcW w:type="dxa" w:w="12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jc w:val="center"/>
              <w:kinsoku w:val="1"/>
            </w:pPr>
            <w:r>
              <w:rPr>
                <w:b w:val="0"/>
                <w:sz w:val="21"/>
                <w:lang w:val="zh-CN" w:eastAsia="zh-CN"/>
              </w:rPr>
              <w:t>21～22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rPr>
          <w:b w:val="0"/>
        </w:rPr>
        <w:t>8.2 化子坪与榆树</w:t>
      </w:r>
    </w:p>
    <w:p>
      <w:pPr>
        <w:keepNext/>
        <w:kinsoku w:val="1"/>
      </w:pPr>
      <w:r>
        <w:rPr>
          <w:b w:val="0"/>
          <w:lang w:val="zh-CN" w:eastAsia="zh-CN"/>
        </w:rPr>
        <w:t>请化子坪、榆树分别就《西交大-资料提供》第2～3页接线图、第8～9页参数及相关历史资料补充以下内容。</w:t>
      </w:r>
    </w:p>
    <w:tbl>
      <w:tblPr>
        <w:tblW w:type="dxa" w:w="9972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6860"/>
        <w:gridCol w:w="1242"/>
      </w:tblGrid>
      <w:tr>
        <w:trPr>
          <w:cantSplit/>
          <w:tblHeader w:val="1"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编号及事项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请提供或确认的区域特有内容</w:t>
            </w:r>
          </w:p>
        </w:tc>
        <w:tc>
          <w:tcPr>
            <w:tcW w:type="dxa" w:w="12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8EFF5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b/>
                <w:sz w:val="21"/>
              </w:rPr>
              <w:t>对应通用条目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38 接线与供电关系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确认化子坪、榆树是否最终入选，并在《西交大-资料提供》第2～3页站级图上补充缺失端点及实际供电/联络关系，确认35/10kV分段、双主变并列条件；给出所选时段线路、主变和母联状态。说明阻抗表“数据第1页”第8～9、22～23行供电方式与实际历史方式的对应。</w:t>
            </w:r>
          </w:p>
        </w:tc>
        <w:tc>
          <w:tcPr>
            <w:tcW w:type="dxa" w:w="12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jc w:val="center"/>
              <w:kinsoku w:val="1"/>
            </w:pPr>
            <w:r>
              <w:rPr>
                <w:b w:val="0"/>
                <w:sz w:val="21"/>
                <w:lang w:val="zh-CN" w:eastAsia="zh-CN"/>
              </w:rPr>
              <w:t>01、03、17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39 线路与风机接入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确认《西交大-资料提供》第8～9页已列油鲍、化镰、旦榆、西榆线参数的现行有效性，补充R/X及来源；明确化140-265的具体T接位置/连接支路、山8增的接入间隔及连接参数。解释表中部分10kV支路连续两个长度及混合架空/电缆表达；核实榆树118线“允许负荷电流/A”列的“1500kw”实际含义及正确限额。</w:t>
            </w:r>
          </w:p>
        </w:tc>
        <w:tc>
          <w:tcPr>
            <w:tcW w:type="dxa" w:w="12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jc w:val="center"/>
              <w:kinsoku w:val="1"/>
            </w:pPr>
            <w:r>
              <w:rPr>
                <w:b w:val="0"/>
                <w:sz w:val="21"/>
                <w:lang w:val="zh-CN" w:eastAsia="zh-CN"/>
              </w:rPr>
              <w:t>03～04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40 主变资料缺口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补充化子坪、榆树各自#1主变的负载损耗/短路试验；澄清《西交大-资料提供》第8页榆树#2“负载损耗81.5”的单位、试验温度和容量基准，并补充第9页化子坪#2已列46.28kW的试验条件。确认已交额定、分接和空载参数对应设备及现行有效性，补充实际档位与变比对应、并列条件及允许负载。</w:t>
            </w:r>
          </w:p>
        </w:tc>
        <w:tc>
          <w:tcPr>
            <w:tcW w:type="dxa" w:w="12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jc w:val="center"/>
              <w:kinsoku w:val="1"/>
            </w:pPr>
            <w:r>
              <w:rPr>
                <w:b w:val="0"/>
                <w:sz w:val="21"/>
                <w:lang w:val="zh-CN" w:eastAsia="zh-CN"/>
              </w:rPr>
              <w:t>05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41 电容器分组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说明《西交大-资料提供》第9页化子坪I段900+900kvar、II段800+1600kvar是否可独立分组投切，补齐设备编号与图表对应、当前在役容量和所选时刻状态。榆树第8页162电容2400kvar请补其实际分组和状态；其他纳入研究的电容间隔补充未覆盖参数。</w:t>
            </w:r>
          </w:p>
        </w:tc>
        <w:tc>
          <w:tcPr>
            <w:tcW w:type="dxa" w:w="12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jc w:val="center"/>
              <w:kinsoku w:val="1"/>
            </w:pPr>
            <w:r>
              <w:rPr>
                <w:b w:val="0"/>
                <w:sz w:val="21"/>
                <w:lang w:val="zh-CN" w:eastAsia="zh-CN"/>
              </w:rPr>
              <w:t>06、17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/>
                <w:sz w:val="21"/>
                <w:lang w:val="zh-CN" w:eastAsia="zh-CN"/>
              </w:rPr>
              <w:t>42 风机及其他设备、控制规则</w:t>
            </w:r>
          </w:p>
        </w:tc>
        <w:tc>
          <w:tcPr>
            <w:tcW w:type="dxa" w:w="68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kinsoku w:val="1"/>
            </w:pPr>
            <w:r>
              <w:rPr>
                <w:b w:val="0"/>
                <w:sz w:val="21"/>
                <w:lang w:val="zh-CN" w:eastAsia="zh-CN"/>
              </w:rPr>
              <w:t>请核实化140-265、山8增两台风机各自的在役身份，确认《西交大-资料提供》第9页一般33.3%P规则对两地的P基准、无功方向和现行适用性。分别明确光伏、储能和SVG是否存在/入选，存在时补充未覆盖的设备资料及各地现行控制规则，包括实际充放电、SVG回退及调度切换。</w:t>
            </w:r>
          </w:p>
        </w:tc>
        <w:tc>
          <w:tcPr>
            <w:tcW w:type="dxa" w:w="12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widowControl/>
              <w:spacing w:after="0" w:before="0" w:line="276" w:lineRule="auto"/>
              <w:jc w:val="center"/>
              <w:kinsoku w:val="1"/>
            </w:pPr>
            <w:r>
              <w:rPr>
                <w:b w:val="0"/>
                <w:sz w:val="21"/>
                <w:lang w:val="zh-CN" w:eastAsia="zh-CN"/>
              </w:rPr>
              <w:t>03、08～10、21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sectPr w:rsidR="00FC693F" w:rsidRPr="0006063C" w:rsidSect="00034616">
      <w:footerReference w:type="default" r:id="rId13"/>
      <w:pgSz w:w="12240" w:h="15840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compressPunctuation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noLineBreaksBefore w:lang="zh-CN" w:val="、。，．：；！？）》】〕〉」』”’%"/>
  <w:noLineBreaksAfter w:lang="zh-CN" w:val="（《【〔〈「『“‘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line="288" w:lineRule="auto" w:after="120"/>
      <w:kinsoku w:val="1"/>
      <w:overflowPunct w:val="1"/>
    </w:pPr>
    <w:rPr>
      <w:rFonts w:ascii="Calibri" w:hAnsi="Calibri" w:eastAsia="宋体"/>
      <w:b w:val="0"/>
      <w:color w:val="000000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76" w:lineRule="auto"/>
      <w:outlineLvl w:val="0"/>
    </w:pPr>
    <w:rPr>
      <w:rFonts w:ascii="Calibri" w:hAnsi="Calibri" w:eastAsia="黑体"/>
      <w:b/>
      <w:bCs/>
      <w:color w:val="000000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76" w:lineRule="auto"/>
      <w:outlineLvl w:val="1"/>
    </w:pPr>
    <w:rPr>
      <w:rFonts w:ascii="Calibri" w:hAnsi="Calibri" w:eastAsia="黑体"/>
      <w:b/>
      <w:bCs/>
      <w:color w:val="000000"/>
      <w:sz w:val="24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260" w:line="276" w:lineRule="auto" w:before="0"/>
      <w:contextualSpacing/>
    </w:pPr>
    <w:rPr>
      <w:rFonts w:ascii="Calibri" w:hAnsi="Calibri" w:eastAsia="黑体"/>
      <w:b/>
      <w:color w:val="000000"/>
      <w:spacing w:val="5"/>
      <w:kern w:val="28"/>
      <w:sz w:val="40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27" w:hanging="227"/>
      <w:contextualSpacing/>
    </w:pPr>
    <w:rPr>
      <w:rFonts w:ascii="Calibri" w:hAnsi="Calibri" w:eastAsia="宋体"/>
      <w:b w:val="0"/>
      <w:color w:val="000000"/>
      <w:sz w:val="22"/>
      <w:lang w:val="zh-CN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docs3/3.1%20%E6%8A%80%E6%9C%AF%E8%A6%81%E6%B1%82%E5%8F%8A%E6%96%B9%E6%A1%88%EF%BC%88%E5%8C%BA%E5%9F%9F%E5%9E%8B%E6%B2%B9%E7%94%B0%E7%94%B5%E7%BD%91%E6%96%B0%E8%83%BD%E6%BA%90%E5%8D%8F%E5%90%8C%E6%8E%A7%E5%88%B6%E8%BF%90%E8%A1%8C%E6%8A%80%E6%9C%AF%E7%A0%94%E7%A9%B6%EF%BC%89630.docx" TargetMode="External"/><Relationship Id="rId10" Type="http://schemas.openxmlformats.org/officeDocument/2006/relationships/hyperlink" Target="../docs3/%E5%B1%B1%E5%9F%8E%E5%BE%AE%E7%94%B5%E7%BD%91%E6%8E%A7%E5%88%B6%E7%AD%96%E7%95%A5%E9%80%BB%E8%BE%91.pdf" TargetMode="External"/><Relationship Id="rId11" Type="http://schemas.openxmlformats.org/officeDocument/2006/relationships/hyperlink" Target="../docs3/%E8%A5%BF%E4%BA%A4%E5%A4%A7-%E8%B5%84%E6%96%99%E6%8F%90%E4%BE%9B.pdf" TargetMode="External"/><Relationship Id="rId12" Type="http://schemas.openxmlformats.org/officeDocument/2006/relationships/hyperlink" Target="../docs3/%E7%BE%A4%E8%B0%83%E7%BE%A4%E6%8E%A7%E8%B0%83%E6%8E%A7%E7%AD%96%E7%95%A5.pdf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区域型油田电网新能源协同控制研究所需甲方资料</dc:title>
  <dc:subject>甲方补充资料清单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