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Artificial Intelligence History</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Yammine Yammine</w:t>
      </w:r>
    </w:p>
    <w:p w:rsidR="00000000" w:rsidDel="00000000" w:rsidP="00000000" w:rsidRDefault="00000000" w:rsidRPr="00000000" w14:paraId="00000005">
      <w:pPr>
        <w:shd w:fill="ffffff" w:val="clear"/>
        <w:spacing w:line="480" w:lineRule="auto"/>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AI at the Edge and IIOT Environments - ITAI 3377</w:t>
      </w:r>
    </w:p>
    <w:p w:rsidR="00000000" w:rsidDel="00000000" w:rsidP="00000000" w:rsidRDefault="00000000" w:rsidRPr="00000000" w14:paraId="00000006">
      <w:pPr>
        <w:shd w:fill="ffffff" w:val="clear"/>
        <w:spacing w:line="480" w:lineRule="auto"/>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Spring 2025- CRN: 18865</w:t>
      </w:r>
    </w:p>
    <w:p w:rsidR="00000000" w:rsidDel="00000000" w:rsidP="00000000" w:rsidRDefault="00000000" w:rsidRPr="00000000" w14:paraId="00000007">
      <w:pPr>
        <w:shd w:fill="ffffff" w:val="clear"/>
        <w:spacing w:line="480" w:lineRule="auto"/>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Professor: Patricia McManus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provided a comprehensive overview of key concepts and applications of artificial intelligence. My key learning objectives were to gain foundational knowledge of major AI techniques like machine learning and neural networks, understand real-world applications of AI across industries, and get hands-on experience building basic AI models.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course exceeded my expectations and equipped me with theoretical and practical AI skills that will be invaluable for further studies and career development. The theoretical grounding and hands-on coding projects gave me a well-rounded introduction to AI.</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1 - History of AI: This module traced the history of AI from early dreams of thinking machines to the recent explosion in deep learning:</w:t>
      </w:r>
    </w:p>
    <w:p w:rsidR="00000000" w:rsidDel="00000000" w:rsidP="00000000" w:rsidRDefault="00000000" w:rsidRPr="00000000" w14:paraId="0000001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pioneers like Alan Turing, Marvin Minsky, Geoffrey Hinton,</w:t>
      </w:r>
    </w:p>
    <w:p w:rsidR="00000000" w:rsidDel="00000000" w:rsidP="00000000" w:rsidRDefault="00000000" w:rsidRPr="00000000" w14:paraId="0000001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winter periods followed by renewed interest and funding</w:t>
      </w:r>
    </w:p>
    <w:p w:rsidR="00000000" w:rsidDel="00000000" w:rsidP="00000000" w:rsidRDefault="00000000" w:rsidRPr="00000000" w14:paraId="0000001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of big data, GPU computing enabling AI breakthroughs</w:t>
      </w:r>
    </w:p>
    <w:p w:rsidR="00000000" w:rsidDel="00000000" w:rsidP="00000000" w:rsidRDefault="00000000" w:rsidRPr="00000000" w14:paraId="00000019">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key to the latest AI boom since 2012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how far AI has come technologically while recognizing the challenges ahead to achieve human-level intelligence. Understanding this historical arc aids in setting reasonable expectations regarding AI's capabilities and limitations. It also contextualizes the hype cycles followed by disillusionment periods plaguing the field. Analyzing the reasons behind renewed interest and surging investment provides insights into scientific, computational, and economic factors enabling progress</w:t>
      </w:r>
      <w:r w:rsidDel="00000000" w:rsidR="00000000" w:rsidRPr="00000000">
        <w:rPr>
          <w:rFonts w:ascii="Times New Roman" w:cs="Times New Roman" w:eastAsia="Times New Roman" w:hAnsi="Times New Roman"/>
          <w:color w:val="2c3e50"/>
          <w:sz w:val="24"/>
          <w:szCs w:val="24"/>
          <w:highlight w:val="white"/>
          <w:rtl w:val="0"/>
        </w:rPr>
        <w:t xml:space="preserv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 Search Algorithms: This module explored different search algorithms used to traverse state spaces: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vs. depth-first search</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search for optimizing cost functions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integrating heuristics</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search algorithms to solve 8-puzzle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projects gave me hands-on experience applying foundational search algorithms to traverse game tree solutions spaces. I learned the inherent tradeoffs between completeness, optimality, efficiency, and scalability underpin algorithm design</w:t>
      </w:r>
      <w:r w:rsidDel="00000000" w:rsidR="00000000" w:rsidRPr="00000000">
        <w:rPr>
          <w:rFonts w:ascii="Times New Roman" w:cs="Times New Roman" w:eastAsia="Times New Roman" w:hAnsi="Times New Roman"/>
          <w:sz w:val="24"/>
          <w:szCs w:val="24"/>
          <w:rtl w:val="0"/>
        </w:rPr>
        <w:t xml:space="preserve">. Grasping these fundamentals aids in understanding modern combinatorial search techniques used for tasks like program synthesis, automated theorem proving, and scheduling.</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silver bullet; each algorithm has advantages/drawbacks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Heuristics guide search but can also mislead if flawed</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match algorithm design to problem structure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 Machine Learning: This module provided an introduction to key machine learning concepts and applications:</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landscape - supervised, unsupervised, reinforcement</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algorithms: linear regression, random forests</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regression model, achieved 95% accuracy</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challenges of data preprocessing and overfitting</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proven incredibly useful for discovering hidden patterns and relationships within complex datasets to enable predictive forecasting and decision-making. However, these models are highly dependent on the quality and nature of the data used to train them. Insufficient, unrepresentative, biased, or skewed training data can seriously compromise performance and potentially exacerbate real-world issues by learning and propagating undesirable patterns. Researchers must carefully design datasets to avoid leaks between training and test partitions that can inflate accuracy metrics. There are also important considerations around balancing the interpretability of models against their predictive power, informing choices of model architecture, such as linear versus nonlinear techniques best suited to specific problems and user needs. Tradeoffs here guide the responsible development of effective and fair machine intelligence.           </w:t>
      </w:r>
    </w:p>
    <w:tbl>
      <w:tblPr>
        <w:tblStyle w:val="Table1"/>
        <w:tblW w:w="3777.0" w:type="dxa"/>
        <w:jc w:val="left"/>
        <w:tblInd w:w="1701.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642"/>
        <w:gridCol w:w="2135"/>
        <w:tblGridChange w:id="0">
          <w:tblGrid>
            <w:gridCol w:w="1642"/>
            <w:gridCol w:w="2135"/>
          </w:tblGrid>
        </w:tblGridChange>
      </w:tblGrid>
      <w:tr>
        <w:trPr>
          <w:cantSplit w:val="0"/>
          <w:tblHeader w:val="0"/>
        </w:trPr>
        <w:tc>
          <w:tcPr/>
          <w:p w:rsidR="00000000" w:rsidDel="00000000" w:rsidP="00000000" w:rsidRDefault="00000000" w:rsidRPr="00000000" w14:paraId="0000002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p w:rsidR="00000000" w:rsidDel="00000000" w:rsidP="00000000" w:rsidRDefault="00000000" w:rsidRPr="00000000" w14:paraId="0000002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w:t>
            </w:r>
          </w:p>
        </w:tc>
      </w:tr>
      <w:tr>
        <w:trPr>
          <w:cantSplit w:val="0"/>
          <w:tblHeader w:val="0"/>
        </w:trPr>
        <w:tc>
          <w:tcPr/>
          <w:p w:rsidR="00000000" w:rsidDel="00000000" w:rsidP="00000000" w:rsidRDefault="00000000" w:rsidRPr="00000000" w14:paraId="0000002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0.7000</w:t>
            </w:r>
          </w:p>
        </w:tc>
      </w:tr>
      <w:tr>
        <w:trPr>
          <w:cantSplit w:val="0"/>
          <w:tblHeader w:val="0"/>
        </w:trPr>
        <w:tc>
          <w:tcPr/>
          <w:p w:rsidR="00000000" w:rsidDel="00000000" w:rsidP="00000000" w:rsidRDefault="00000000" w:rsidRPr="00000000" w14:paraId="0000002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3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w:t>
            </w:r>
          </w:p>
        </w:tc>
      </w:tr>
      <w:tr>
        <w:trPr>
          <w:cantSplit w:val="0"/>
          <w:tblHeader w:val="0"/>
        </w:trPr>
        <w:tc>
          <w:tcPr/>
          <w:p w:rsidR="00000000" w:rsidDel="00000000" w:rsidP="00000000" w:rsidRDefault="00000000" w:rsidRPr="00000000" w14:paraId="0000003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03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0.9000</w:t>
            </w:r>
          </w:p>
        </w:tc>
      </w:tr>
      <w:tr>
        <w:trPr>
          <w:cantSplit w:val="0"/>
          <w:tblHeader w:val="0"/>
        </w:trPr>
        <w:tc>
          <w:tcPr/>
          <w:p w:rsidR="00000000" w:rsidDel="00000000" w:rsidP="00000000" w:rsidRDefault="00000000" w:rsidRPr="00000000" w14:paraId="0000003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p w:rsidR="00000000" w:rsidDel="00000000" w:rsidP="00000000" w:rsidRDefault="00000000" w:rsidRPr="00000000" w14:paraId="0000003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0.9500</w:t>
            </w:r>
          </w:p>
        </w:tc>
      </w:tr>
      <w:tr>
        <w:trPr>
          <w:cantSplit w:val="0"/>
          <w:tblHeader w:val="0"/>
        </w:trPr>
        <w:tc>
          <w:tcPr/>
          <w:p w:rsidR="00000000" w:rsidDel="00000000" w:rsidP="00000000" w:rsidRDefault="00000000" w:rsidRPr="00000000" w14:paraId="0000003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p w:rsidR="00000000" w:rsidDel="00000000" w:rsidP="00000000" w:rsidRDefault="00000000" w:rsidRPr="00000000" w14:paraId="0000003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0.9800</w:t>
            </w:r>
          </w:p>
        </w:tc>
      </w:tr>
    </w:tbl>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drawing>
          <wp:inline distB="0" distT="0" distL="0" distR="0">
            <wp:extent cx="4572000" cy="2724702"/>
            <wp:docPr id="2"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accuracy by dataset size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 Neural Networks: This module explored neural networks, which have fueled many recent AI advances through their ability to learn sophisticated feature representations:</w:t>
      </w:r>
    </w:p>
    <w:p w:rsidR="00000000" w:rsidDel="00000000" w:rsidP="00000000" w:rsidRDefault="00000000" w:rsidRPr="00000000" w14:paraId="0000003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inspiration and early limitations</w:t>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networks, backpropagation algorithm</w:t>
      </w:r>
    </w:p>
    <w:p w:rsidR="00000000" w:rsidDel="00000000" w:rsidP="00000000" w:rsidRDefault="00000000" w:rsidRPr="00000000" w14:paraId="0000003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networks for image recognition</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3-layer network, with 78% classification accuracy</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experimenting with simple neural networks, I gained intuition for how techniques like backpropagation enable learning complex non-linear relationships</w:t>
      </w:r>
      <w:r w:rsidDel="00000000" w:rsidR="00000000" w:rsidRPr="00000000">
        <w:rPr>
          <w:rFonts w:ascii="Times New Roman" w:cs="Times New Roman" w:eastAsia="Times New Roman" w:hAnsi="Times New Roman"/>
          <w:sz w:val="24"/>
          <w:szCs w:val="24"/>
          <w:rtl w:val="0"/>
        </w:rPr>
        <w:t xml:space="preserve">. This hands-on experience conveyed core concepts around loss functions, gradient descent, and regularization to avoid overfitting. I now better appreciate how neural networks leverage multiple non-linear processing layers to create abstract, hierarchical representations.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 Computer Vision: This module surveyed the field of computer vision and image recognition techniques:</w:t>
      </w:r>
    </w:p>
    <w:p w:rsidR="00000000" w:rsidDel="00000000" w:rsidP="00000000" w:rsidRDefault="00000000" w:rsidRPr="00000000" w14:paraId="0000004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methods focusing on hand-coded rules/features</w:t>
      </w:r>
    </w:p>
    <w:p w:rsidR="00000000" w:rsidDel="00000000" w:rsidP="00000000" w:rsidRDefault="00000000" w:rsidRPr="00000000" w14:paraId="0000004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of deep learning for automated feature extraction</w:t>
      </w:r>
    </w:p>
    <w:p w:rsidR="00000000" w:rsidDel="00000000" w:rsidP="00000000" w:rsidRDefault="00000000" w:rsidRPr="00000000" w14:paraId="0000004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Breakthroughs like AlexNet, object localization, style transfer</w:t>
      </w:r>
    </w:p>
    <w:p w:rsidR="00000000" w:rsidDel="00000000" w:rsidP="00000000" w:rsidRDefault="00000000" w:rsidRPr="00000000" w14:paraId="0000004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Experimented with pre-trained networks and GANs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computer vision enabled by convolutional neural networks represent a defining AI achievement with widespread applications. However, robust vision across varied scenarios remains challenging due to occlusion, orientation, and lighting changes. This highlights the need for caution when deploying models and motivates research into techniques to quantify uncertainty.</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 Natural Language Processing: This module explored language-focused AI and its real-world applications:</w:t>
      </w:r>
    </w:p>
    <w:p w:rsidR="00000000" w:rsidDel="00000000" w:rsidP="00000000" w:rsidRDefault="00000000" w:rsidRPr="00000000" w14:paraId="0000004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Rule-based vs. statistical NLP methods</w:t>
      </w:r>
    </w:p>
    <w:p w:rsidR="00000000" w:rsidDel="00000000" w:rsidP="00000000" w:rsidRDefault="00000000" w:rsidRPr="00000000" w14:paraId="0000004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semantics and word embeddings</w:t>
      </w:r>
    </w:p>
    <w:p w:rsidR="00000000" w:rsidDel="00000000" w:rsidP="00000000" w:rsidRDefault="00000000" w:rsidRPr="00000000" w14:paraId="0000004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models like n-grams and LSTMs</w:t>
      </w:r>
    </w:p>
    <w:p w:rsidR="00000000" w:rsidDel="00000000" w:rsidP="00000000" w:rsidRDefault="00000000" w:rsidRPr="00000000" w14:paraId="0000004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and sentiment analysis</w:t>
      </w:r>
    </w:p>
    <w:p w:rsidR="00000000" w:rsidDel="00000000" w:rsidP="00000000" w:rsidRDefault="00000000" w:rsidRPr="00000000" w14:paraId="0000004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chatbot with basic conversational ability</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modeling has witnessed significant breakthroughs recently, but NLP remains an enduring challenge for AI. Language continuously evolves in a social context and involves nuanced cultural references shaping interpretation and meaning. While statistical techniques drive continued progress on focused tasks like translation and summarization, the goal of artificial general intelligence motivates the developing of creative compositionality and an understanding of common sense reasoning.</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7 - AI Ethics: This module discussed ethical considerations as AI is increasingly embedded in society:</w:t>
      </w:r>
    </w:p>
    <w:p w:rsidR="00000000" w:rsidDel="00000000" w:rsidP="00000000" w:rsidRDefault="00000000" w:rsidRPr="00000000" w14:paraId="0000004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bias, personhood, control/accountability</w:t>
      </w:r>
    </w:p>
    <w:p w:rsidR="00000000" w:rsidDel="00000000" w:rsidP="00000000" w:rsidRDefault="00000000" w:rsidRPr="00000000" w14:paraId="0000004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principles like transparency and value alignment</w:t>
      </w:r>
    </w:p>
    <w:p w:rsidR="00000000" w:rsidDel="00000000" w:rsidP="00000000" w:rsidRDefault="00000000" w:rsidRPr="00000000" w14:paraId="0000005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case studies exploring AI ethics tradeoffs</w:t>
      </w:r>
    </w:p>
    <w:p w:rsidR="00000000" w:rsidDel="00000000" w:rsidP="00000000" w:rsidRDefault="00000000" w:rsidRPr="00000000" w14:paraId="0000005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Brainstormed creative ideas to address ethical risks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gained awareness of the huge responsibility to engineer AI systems that respect social values. Mitigating dangers around privacy violations or encoded biases requires foresight and proactive engagement with impacted communities. Ongoing governance regarding appropriate use cases balances innovation with precaution. Technology progress demands increased investment in understanding complex sociotechnical dynamics rather than solely optimizing for accuracy or efficiency metrics.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Interdisciplinary and Communication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portfolio includes domains like epidemiology, probability theory, and graphics rendering. While seemingly unrelated to AI, core concepts permeate across these fields. Analytical thinking, mathematical reasoning, algorithmic modeling, uncertainty quantification, and precise communication unify these endeavors.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glossary emphasizes conveying complex niche concepts. Defining terms like "asymptomatic transmission" or "zoonotic spillover" related to disease spread requires assimilating knowledge from biology and public health. As AI increasingly assists in epidemiology around outbreak prediction or contact tracing, such interdisciplinary becomes imperative.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analyzing the logic puzzle leverages probability theory and Bayes’ theorem to provide the mathematically optimal strategy. This echoes machine learning techniques that infer latent parameters by modeling joint probabilities and uncertainties. Step-by-step explanations reveal systematic thinking vital for debugging complex AI systems spanning billions of parameters.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concepts continue across the graphics and language domains. Raytracing simulations rely heavily on linear algebra, geometry, and physics, much like convolutional vision models that generate photorealistic renderings. Explaining such technical topics aids collaboration in cross-functional AI teams. Likewise, elucidating ChatGPT's learning requires articulating complex ideas like self-supervised objectives, transformer architectures, and emergent communication protocols. Discussing limitations transparently manages expectations regarding AI's capabilities to avoid hype and disillusionment cycles plaguing the field's history.</w:t>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distilled both breadth of knowledge across core AI domains and depth of understanding of computer vision and natural language processing. Thanks to the hands-on coding component, I am well-poised to pursue further machine-learning projects or research opportunities. My future goal is to contribute to innovative yet responsibly developed AI initiatives that broaden access to critical services across domains like healthcare, education, and sustainability.</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portfolio highlights versatility spanning cutting-edge disciplines, echoing artificial intelligence's emergence as a fundamental digital literacy facilitating interdisciplinary problem-solving. Communicating clearly amid complexity and mathematically modeling uncertainty will remain imperative skills as AI permeates all spheres of research and innovation.</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bookmarkStart w:colFirst="0" w:colLast="0" w:name="_heading=h.tgvmlrpsy50h" w:id="0"/>
      <w:bookmarkEnd w:id="0"/>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bookmarkStart w:colFirst="0" w:colLast="0" w:name="_heading=h.no75dtrhuneu" w:id="1"/>
      <w:bookmarkEnd w:id="1"/>
      <w:r w:rsidDel="00000000" w:rsidR="00000000" w:rsidRPr="00000000">
        <w:rPr>
          <w:rtl w:val="0"/>
        </w:rPr>
      </w:r>
    </w:p>
    <w:p w:rsidR="00000000" w:rsidDel="00000000" w:rsidP="00000000" w:rsidRDefault="00000000" w:rsidRPr="00000000" w14:paraId="00000060">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Trebuchet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416F4"/>
    <w:rPr>
      <w:color w:val="0563c1" w:themeColor="hyperlink"/>
      <w:u w:val="single"/>
    </w:rPr>
  </w:style>
  <w:style w:type="paragraph" w:styleId="NormalWeb">
    <w:name w:val="Normal (Web)"/>
    <w:basedOn w:val="Normal"/>
    <w:uiPriority w:val="99"/>
    <w:semiHidden w:val="1"/>
    <w:unhideWhenUsed w:val="1"/>
    <w:rsid w:val="00E249C0"/>
    <w:rPr>
      <w:rFonts w:ascii="Times New Roman" w:cs="Times New Roman" w:hAnsi="Times New Roman"/>
      <w:sz w:val="24"/>
      <w:szCs w:val="24"/>
    </w:rPr>
  </w:style>
  <w:style w:type="paragraph" w:styleId="Header">
    <w:name w:val="header"/>
    <w:basedOn w:val="Normal"/>
    <w:link w:val="HeaderChar"/>
    <w:uiPriority w:val="99"/>
    <w:unhideWhenUsed w:val="1"/>
    <w:rsid w:val="004642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4243"/>
  </w:style>
  <w:style w:type="paragraph" w:styleId="Footer">
    <w:name w:val="footer"/>
    <w:basedOn w:val="Normal"/>
    <w:link w:val="FooterChar"/>
    <w:uiPriority w:val="99"/>
    <w:unhideWhenUsed w:val="1"/>
    <w:rsid w:val="004642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4243"/>
  </w:style>
  <w:style w:type="table" w:styleId="GridTable1Light">
    <w:name w:val="Grid Table 1 Light"/>
    <w:basedOn w:val="TableNormal"/>
    <w:uiPriority w:val="46"/>
    <w:rsid w:val="003D0BC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1">
    <w:name w:val="Plain Table 1"/>
    <w:basedOn w:val="TableNormal"/>
    <w:uiPriority w:val="41"/>
    <w:rsid w:val="0018525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themeOverride" Target="../theme/themeOverride1.xml"/><Relationship Id="rId4"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Model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Sheet1!$B$4:$B$8</c:f>
              <c:numCache>
                <c:formatCode>General</c:formatCode>
                <c:ptCount val="5"/>
                <c:pt idx="0">
                  <c:v>10</c:v>
                </c:pt>
                <c:pt idx="1">
                  <c:v>100</c:v>
                </c:pt>
                <c:pt idx="2">
                  <c:v>1000</c:v>
                </c:pt>
                <c:pt idx="3">
                  <c:v>10000</c:v>
                </c:pt>
                <c:pt idx="4">
                  <c:v>100000</c:v>
                </c:pt>
              </c:numCache>
            </c:numRef>
          </c:xVal>
          <c:yVal>
            <c:numRef>
              <c:f>Sheet1!$C$4:$C$8</c:f>
              <c:numCache>
                <c:formatCode>General</c:formatCode>
                <c:ptCount val="5"/>
                <c:pt idx="0">
                  <c:v>0.7</c:v>
                </c:pt>
                <c:pt idx="1">
                  <c:v>0.8</c:v>
                </c:pt>
                <c:pt idx="2">
                  <c:v>0.9</c:v>
                </c:pt>
                <c:pt idx="3">
                  <c:v>0.95</c:v>
                </c:pt>
                <c:pt idx="4">
                  <c:v>0.98</c:v>
                </c:pt>
              </c:numCache>
            </c:numRef>
          </c:yVal>
          <c:smooth val="0"/>
          <c:extLst>
            <c:ext xmlns:c16="http://schemas.microsoft.com/office/drawing/2014/chart" uri="{C3380CC4-5D6E-409C-BE32-E72D297353CC}">
              <c16:uniqueId val="{00000000-87EC-4780-9B86-A0D286E852A7}"/>
            </c:ext>
          </c:extLst>
        </c:ser>
        <c:dLbls>
          <c:showLegendKey val="0"/>
          <c:showVal val="0"/>
          <c:showCatName val="0"/>
          <c:showSerName val="0"/>
          <c:showPercent val="0"/>
          <c:showBubbleSize val="0"/>
        </c:dLbls>
        <c:axId val="973588991"/>
        <c:axId val="973584415"/>
      </c:scatterChart>
      <c:valAx>
        <c:axId val="973588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584415"/>
        <c:crosses val="autoZero"/>
        <c:crossBetween val="midCat"/>
      </c:valAx>
      <c:valAx>
        <c:axId val="973584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588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GA2LO0rTH+gSRoZ+NuK0sIMCw==">CgMxLjAyDmgudGd2bWxycHN5NTBoMg5oLm5vNzVkdHJodW5ldTgAciExbkxXTGF4VURGekhKMkNUSUJxZ3dUUThwWU9paWtkV1g=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2023-12-06T14:26:00Z</dcterms:created>
  <dc:creator>HP</dc:creator>
</cp:coreProperties>
</file>