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LT6 Evidence to GPO Mapping</w:t>
      </w:r>
    </w:p>
    <w:p>
      <w:pPr>
        <w:jc w:val="center"/>
      </w:pPr>
      <w:r>
        <w:rPr>
          <w:b/>
          <w:color w:val="1F4E79"/>
          <w:sz w:val="26"/>
        </w:rPr>
        <w:t>FarmPi Capstone - Working Evidence Control Record</w:t>
      </w:r>
    </w:p>
    <w:p>
      <w:pPr>
        <w:jc w:val="center"/>
      </w:pPr>
      <w:r>
        <w:t>Jeremy Brooking | Bachelor of Information Technology | Learning Task 6</w:t>
      </w:r>
    </w:p>
    <w:p>
      <w:pPr>
        <w:jc w:val="center"/>
      </w:pPr>
      <w:r>
        <w:rPr>
          <w:b/>
        </w:rPr>
        <w:t>Version 0.4 | 5 October 2026</w:t>
      </w:r>
    </w:p>
    <w:p/>
    <w:p>
      <w:pPr>
        <w:keepLines/>
      </w:pPr>
      <w:r>
        <w:rPr>
          <w:b/>
        </w:rPr>
        <w:t xml:space="preserve">v0.4 change control — </w:t>
      </w:r>
      <w:r>
        <w:t>This version supersedes v0.3 as the current working mapping. It aligns the register with Evidence Sufficiency Control v0.7, Development Record v0.6, GitHub main at 2e89ce3 after merged PR #54, and the completed P001/P002 stakeholder sessions. E6-09 and E6-10 are now COMPLETE, E6-11 remains PARTIAL at its controlled-comparison boundary, T05 is PASS, T01 remains PARTIAL at 1/6 physical measurement types, and E6-17 is retained as optional/not required. The remaining work is narrative and portfolio reconciliation rather than additional FarmPi feature or participant work.</w:t>
      </w:r>
    </w:p>
    <w:p>
      <w:pPr>
        <w:keepLines/>
      </w:pPr>
      <w:r>
        <w:rPr>
          <w:b/>
        </w:rPr>
        <w:t xml:space="preserve">Reading rule — </w:t>
      </w:r>
      <w:r>
        <w:t>A mapping link is not a grade and does not automatically mean that a whole Graduate Profile Outcome has been met. This document shows where the current Task 6 evidence contributes, what it actually proves, what remains partial, and where the wider portfolio still carries the stronger evidence.</w:t>
      </w:r>
    </w:p>
    <w:p>
      <w:r>
        <w:br w:type="page"/>
      </w:r>
    </w:p>
    <w:p>
      <w:pPr>
        <w:pStyle w:val="Heading1"/>
        <w:keepNext/>
      </w:pPr>
      <w:r>
        <w:t>1. Purpose of this mapping</w:t>
      </w:r>
    </w:p>
    <w:p>
      <w:r>
        <w:t>I am using this document as a control sheet for Learning Task 6. Its job is to stop me making vague claims later. If I say an item supports a Graduate Profile Outcome (GPO), I want to be able to point to the requirement, design decision, implementation, test, screenshot, log, stakeholder response or reflection that supports it.</w:t>
      </w:r>
    </w:p>
    <w:p>
      <w:r>
        <w:t>The evidence set is now substantially mature. The important distinction is no longer between 'done' and 'not done', but between claims that are complete at their stated boundary, claims that remain honestly partial, and later portfolio work such as the LT4/SFIA refresh. T01 and E6-11 are retained as final bounded partial results rather than being forced into passes.</w:t>
      </w:r>
    </w:p>
    <w:p>
      <w:pPr>
        <w:pStyle w:val="Heading2"/>
        <w:keepNext/>
      </w:pPr>
      <w:r>
        <w:t>1.1 Evidence state language</w:t>
      </w:r>
    </w:p>
    <w:tbl>
      <w:tblPr>
        <w:tblStyle w:val="TableGrid"/>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rPr>
          <w:tblHeader w:val="true"/>
        </w:trPr>
        <w:tc>
          <w:tcPr>
            <w:tcW w:type="dxa" w:w="1701"/>
            <w:shd w:fill="D9EAF7"/>
          </w:tcPr>
          <w:p>
            <w:r>
              <w:rPr>
                <w:b/>
              </w:rPr>
              <w:t>State</w:t>
            </w:r>
          </w:p>
        </w:tc>
        <w:tc>
          <w:tcPr>
            <w:tcW w:type="dxa" w:w="8391"/>
            <w:shd w:fill="D9EAF7"/>
          </w:tcPr>
          <w:p>
            <w:r>
              <w:rPr>
                <w:b/>
              </w:rPr>
              <w:t>Meaning</w:t>
            </w:r>
          </w:p>
        </w:tc>
      </w:tr>
      <w:tr>
        <w:tc>
          <w:tcPr>
            <w:tcW w:type="dxa" w:w="5111"/>
            <w:tcMar>
              <w:top w:w="60" w:type="dxa"/>
              <w:start w:w="70" w:type="dxa"/>
              <w:bottom w:w="60" w:type="dxa"/>
              <w:end w:w="70" w:type="dxa"/>
            </w:tcMar>
          </w:tcPr>
          <w:p>
            <w:r>
              <w:rPr>
                <w:sz w:val="17"/>
              </w:rPr>
              <w:t>Planned</w:t>
            </w:r>
          </w:p>
        </w:tc>
        <w:tc>
          <w:tcPr>
            <w:tcW w:type="dxa" w:w="5111"/>
            <w:tcMar>
              <w:top w:w="60" w:type="dxa"/>
              <w:start w:w="70" w:type="dxa"/>
              <w:bottom w:w="60" w:type="dxa"/>
              <w:end w:w="70" w:type="dxa"/>
            </w:tcMar>
          </w:tcPr>
          <w:p>
            <w:r>
              <w:rPr>
                <w:sz w:val="17"/>
              </w:rPr>
              <w:t>The evidence is intended but has not yet been produced.</w:t>
            </w:r>
          </w:p>
        </w:tc>
      </w:tr>
      <w:tr>
        <w:tc>
          <w:tcPr>
            <w:tcW w:type="dxa" w:w="5111"/>
            <w:tcMar>
              <w:top w:w="60" w:type="dxa"/>
              <w:start w:w="70" w:type="dxa"/>
              <w:bottom w:w="60" w:type="dxa"/>
              <w:end w:w="70" w:type="dxa"/>
            </w:tcMar>
          </w:tcPr>
          <w:p>
            <w:r>
              <w:rPr>
                <w:sz w:val="17"/>
              </w:rPr>
              <w:t>Partial</w:t>
            </w:r>
          </w:p>
        </w:tc>
        <w:tc>
          <w:tcPr>
            <w:tcW w:type="dxa" w:w="5111"/>
            <w:tcMar>
              <w:top w:w="60" w:type="dxa"/>
              <w:start w:w="70" w:type="dxa"/>
              <w:bottom w:w="60" w:type="dxa"/>
              <w:end w:w="70" w:type="dxa"/>
            </w:tcMar>
          </w:tcPr>
          <w:p>
            <w:r>
              <w:rPr>
                <w:sz w:val="17"/>
              </w:rPr>
              <w:t>Some implementation or evidence exists, but an important part of the scoped claim is still missing.</w:t>
            </w:r>
          </w:p>
        </w:tc>
      </w:tr>
      <w:tr>
        <w:tc>
          <w:tcPr>
            <w:tcW w:type="dxa" w:w="5111"/>
            <w:tcMar>
              <w:top w:w="60" w:type="dxa"/>
              <w:start w:w="70" w:type="dxa"/>
              <w:bottom w:w="60" w:type="dxa"/>
              <w:end w:w="70" w:type="dxa"/>
            </w:tcMar>
          </w:tcPr>
          <w:p>
            <w:r>
              <w:rPr>
                <w:sz w:val="17"/>
              </w:rPr>
              <w:t>Implemented</w:t>
            </w:r>
          </w:p>
        </w:tc>
        <w:tc>
          <w:tcPr>
            <w:tcW w:type="dxa" w:w="5111"/>
            <w:tcMar>
              <w:top w:w="60" w:type="dxa"/>
              <w:start w:w="70" w:type="dxa"/>
              <w:bottom w:w="60" w:type="dxa"/>
              <w:end w:w="70" w:type="dxa"/>
            </w:tcMar>
          </w:tcPr>
          <w:p>
            <w:r>
              <w:rPr>
                <w:sz w:val="17"/>
              </w:rPr>
              <w:t>The feature, process or approach exists, but its stated acceptance evidence is not complete.</w:t>
            </w:r>
          </w:p>
        </w:tc>
      </w:tr>
      <w:tr>
        <w:tc>
          <w:tcPr>
            <w:tcW w:type="dxa" w:w="5111"/>
            <w:tcMar>
              <w:top w:w="60" w:type="dxa"/>
              <w:start w:w="70" w:type="dxa"/>
              <w:bottom w:w="60" w:type="dxa"/>
              <w:end w:w="70" w:type="dxa"/>
            </w:tcMar>
          </w:tcPr>
          <w:p>
            <w:r>
              <w:rPr>
                <w:sz w:val="17"/>
              </w:rPr>
              <w:t>Verified</w:t>
            </w:r>
          </w:p>
        </w:tc>
        <w:tc>
          <w:tcPr>
            <w:tcW w:type="dxa" w:w="5111"/>
            <w:tcMar>
              <w:top w:w="60" w:type="dxa"/>
              <w:start w:w="70" w:type="dxa"/>
              <w:bottom w:w="60" w:type="dxa"/>
              <w:end w:w="70" w:type="dxa"/>
            </w:tcMar>
          </w:tcPr>
          <w:p>
            <w:r>
              <w:rPr>
                <w:sz w:val="17"/>
              </w:rPr>
              <w:t>A retained check or direct observation supports the specific claim in its named environment/version.</w:t>
            </w:r>
          </w:p>
        </w:tc>
      </w:tr>
      <w:tr>
        <w:tc>
          <w:tcPr>
            <w:tcW w:type="dxa" w:w="5111"/>
            <w:tcMar>
              <w:top w:w="60" w:type="dxa"/>
              <w:start w:w="70" w:type="dxa"/>
              <w:bottom w:w="60" w:type="dxa"/>
              <w:end w:w="70" w:type="dxa"/>
            </w:tcMar>
          </w:tcPr>
          <w:p>
            <w:r>
              <w:rPr>
                <w:sz w:val="17"/>
              </w:rPr>
              <w:t>Complete</w:t>
            </w:r>
          </w:p>
        </w:tc>
        <w:tc>
          <w:tcPr>
            <w:tcW w:type="dxa" w:w="5111"/>
            <w:tcMar>
              <w:top w:w="60" w:type="dxa"/>
              <w:start w:w="70" w:type="dxa"/>
              <w:bottom w:w="60" w:type="dxa"/>
              <w:end w:w="70" w:type="dxa"/>
            </w:tcMar>
          </w:tcPr>
          <w:p>
            <w:r>
              <w:rPr>
                <w:sz w:val="17"/>
              </w:rPr>
              <w:t>The scoped evidence item has its claim, result, limitations and traceability assembled with no remaining evidence action for that item.</w:t>
            </w:r>
          </w:p>
        </w:tc>
      </w:tr>
      <w:tr>
        <w:tc>
          <w:tcPr>
            <w:tcW w:type="dxa" w:w="5111"/>
            <w:tcMar>
              <w:top w:w="60" w:type="dxa"/>
              <w:start w:w="70" w:type="dxa"/>
              <w:bottom w:w="60" w:type="dxa"/>
              <w:end w:w="70" w:type="dxa"/>
            </w:tcMar>
          </w:tcPr>
          <w:p>
            <w:r>
              <w:rPr>
                <w:sz w:val="17"/>
              </w:rPr>
              <w:t>Not required</w:t>
            </w:r>
          </w:p>
        </w:tc>
        <w:tc>
          <w:tcPr>
            <w:tcW w:type="dxa" w:w="5111"/>
            <w:tcMar>
              <w:top w:w="60" w:type="dxa"/>
              <w:start w:w="70" w:type="dxa"/>
              <w:bottom w:w="60" w:type="dxa"/>
              <w:end w:w="70" w:type="dxa"/>
            </w:tcMar>
          </w:tcPr>
          <w:p>
            <w:r>
              <w:rPr>
                <w:sz w:val="17"/>
              </w:rPr>
              <w:t>The item is retained for continuity but no completion claim depends on it and no further action is required.</w:t>
            </w:r>
          </w:p>
        </w:tc>
      </w:tr>
    </w:tbl>
    <w:p>
      <w:pPr>
        <w:pStyle w:val="SmallNote"/>
      </w:pPr>
      <w:r>
        <w:t>A state is not a grade. COMPLETE applies only to the scoped evidence item named in the register.</w:t>
      </w:r>
    </w:p>
    <w:p>
      <w:pPr>
        <w:pStyle w:val="Heading2"/>
        <w:keepNext/>
      </w:pPr>
      <w:r>
        <w:t>1.2 Evidence strength language</w:t>
      </w:r>
    </w:p>
    <w:p>
      <w:r>
        <w:t>Direct evidence substantially demonstrates the claim itself. Supporting evidence helps explain why the work matters or how it was approached. Corroborating evidence is independent human confirmation within the other person's actual knowledge. AI-generated material remains supporting material until checked against implementation, tests or other retained evidence.</w:t>
      </w:r>
    </w:p>
    <w:p>
      <w:pPr>
        <w:pStyle w:val="Heading1"/>
        <w:keepNext/>
      </w:pPr>
      <w:r>
        <w:t>2. Graduate Profile Outcomes used in this mapping</w:t>
      </w:r>
    </w:p>
    <w:p>
      <w:pPr>
        <w:keepLines/>
      </w:pPr>
      <w:r>
        <w:rPr>
          <w:b/>
          <w:color w:val="1F4E79"/>
        </w:rPr>
        <w:t xml:space="preserve">GPO1 - </w:t>
      </w:r>
      <w:r>
        <w:t>Demonstrate a broad foundation of knowledge and skills suitable for a range of careers involving Information Technology.</w:t>
      </w:r>
    </w:p>
    <w:p>
      <w:pPr>
        <w:keepLines/>
      </w:pPr>
      <w:r>
        <w:rPr>
          <w:b/>
          <w:color w:val="1F4E79"/>
        </w:rPr>
        <w:t xml:space="preserve">GPO2 - </w:t>
      </w:r>
      <w:r>
        <w:t>Apply Information Technology industry tools, processes and standards to respond to organisational, cultural and community requirements.</w:t>
      </w:r>
    </w:p>
    <w:p>
      <w:pPr>
        <w:keepLines/>
      </w:pPr>
      <w:r>
        <w:rPr>
          <w:b/>
          <w:color w:val="1F4E79"/>
        </w:rPr>
        <w:t xml:space="preserve">GPO3 - </w:t>
      </w:r>
      <w:r>
        <w:t>Apply critical thinking and independent judgement to develop Information Technology solutions to complex real-world problems.</w:t>
      </w:r>
    </w:p>
    <w:p>
      <w:pPr>
        <w:keepLines/>
      </w:pPr>
      <w:r>
        <w:rPr>
          <w:b/>
          <w:color w:val="1F4E79"/>
        </w:rPr>
        <w:t xml:space="preserve">GPO4 - </w:t>
      </w:r>
      <w:r>
        <w:t>Engage in independent learning to maintain discipline currency in a rapidly changing Information Technology industry.</w:t>
      </w:r>
    </w:p>
    <w:p>
      <w:pPr>
        <w:keepLines/>
      </w:pPr>
      <w:r>
        <w:rPr>
          <w:b/>
          <w:color w:val="1F4E79"/>
        </w:rPr>
        <w:t xml:space="preserve">GPO5 - </w:t>
      </w:r>
      <w:r>
        <w:t>Be prepared to contribute effectively as a member or leader in diverse cross functional Information Technology teams.</w:t>
      </w:r>
    </w:p>
    <w:p>
      <w:pPr>
        <w:keepLines/>
      </w:pPr>
      <w:r>
        <w:rPr>
          <w:b/>
          <w:color w:val="1F4E79"/>
        </w:rPr>
        <w:t xml:space="preserve">GPO6 - </w:t>
      </w:r>
      <w:r>
        <w:t>Integrate cultural, ethical and sustainable practice consistent with Information Technology codes of conduct and informed by the principles of Te Tiriti o Waitangi.</w:t>
      </w:r>
    </w:p>
    <w:p>
      <w:pPr>
        <w:pStyle w:val="Heading1"/>
        <w:keepNext/>
      </w:pPr>
      <w:r>
        <w:t>3. Evidence register - summary mapping</w:t>
      </w:r>
    </w:p>
    <w:p>
      <w:r>
        <w:t>This is the compact current view. Section 4 keeps the evidence boundaries visible so that COMPLETE does not get mistaken for a claim that the whole capstone, or a whole GPO, is complete.</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1704"/>
        <w:gridCol w:w="1704"/>
        <w:gridCol w:w="1704"/>
        <w:gridCol w:w="1704"/>
        <w:gridCol w:w="1704"/>
        <w:gridCol w:w="1704"/>
      </w:tblGrid>
      <w:tr>
        <w:trPr>
          <w:tblHeader w:val="true"/>
        </w:trPr>
        <w:tc>
          <w:tcPr>
            <w:tcW w:type="dxa" w:w="567"/>
            <w:shd w:fill="D9EAF7"/>
            <w:tcMar>
              <w:top w:w="50" w:type="dxa"/>
              <w:start w:w="55" w:type="dxa"/>
              <w:bottom w:w="50" w:type="dxa"/>
              <w:end w:w="55" w:type="dxa"/>
            </w:tcMar>
          </w:tcPr>
          <w:p>
            <w:r>
              <w:rPr>
                <w:b/>
                <w:sz w:val="14"/>
              </w:rPr>
              <w:t>ID</w:t>
            </w:r>
          </w:p>
        </w:tc>
        <w:tc>
          <w:tcPr>
            <w:tcW w:type="dxa" w:w="1559"/>
            <w:shd w:fill="D9EAF7"/>
            <w:tcMar>
              <w:top w:w="50" w:type="dxa"/>
              <w:start w:w="55" w:type="dxa"/>
              <w:bottom w:w="50" w:type="dxa"/>
              <w:end w:w="55" w:type="dxa"/>
            </w:tcMar>
          </w:tcPr>
          <w:p>
            <w:r>
              <w:rPr>
                <w:b/>
                <w:sz w:val="14"/>
              </w:rPr>
              <w:t>Evidence item</w:t>
            </w:r>
          </w:p>
        </w:tc>
        <w:tc>
          <w:tcPr>
            <w:tcW w:type="dxa" w:w="1445"/>
            <w:shd w:fill="D9EAF7"/>
            <w:tcMar>
              <w:top w:w="50" w:type="dxa"/>
              <w:start w:w="55" w:type="dxa"/>
              <w:bottom w:w="50" w:type="dxa"/>
              <w:end w:w="55" w:type="dxa"/>
            </w:tcMar>
          </w:tcPr>
          <w:p>
            <w:r>
              <w:rPr>
                <w:b/>
                <w:sz w:val="14"/>
              </w:rPr>
              <w:t>GPO links</w:t>
            </w:r>
          </w:p>
        </w:tc>
        <w:tc>
          <w:tcPr>
            <w:tcW w:type="dxa" w:w="1219"/>
            <w:shd w:fill="D9EAF7"/>
            <w:tcMar>
              <w:top w:w="50" w:type="dxa"/>
              <w:start w:w="55" w:type="dxa"/>
              <w:bottom w:w="50" w:type="dxa"/>
              <w:end w:w="55" w:type="dxa"/>
            </w:tcMar>
          </w:tcPr>
          <w:p>
            <w:r>
              <w:rPr>
                <w:b/>
                <w:sz w:val="14"/>
              </w:rPr>
              <w:t>State / type</w:t>
            </w:r>
          </w:p>
        </w:tc>
        <w:tc>
          <w:tcPr>
            <w:tcW w:type="dxa" w:w="2636"/>
            <w:shd w:fill="D9EAF7"/>
            <w:tcMar>
              <w:top w:w="50" w:type="dxa"/>
              <w:start w:w="55" w:type="dxa"/>
              <w:bottom w:w="50" w:type="dxa"/>
              <w:end w:w="55" w:type="dxa"/>
            </w:tcMar>
          </w:tcPr>
          <w:p>
            <w:r>
              <w:rPr>
                <w:b/>
                <w:sz w:val="14"/>
              </w:rPr>
              <w:t>Current position</w:t>
            </w:r>
          </w:p>
        </w:tc>
        <w:tc>
          <w:tcPr>
            <w:tcW w:type="dxa" w:w="2778"/>
            <w:shd w:fill="D9EAF7"/>
            <w:tcMar>
              <w:top w:w="50" w:type="dxa"/>
              <w:start w:w="55" w:type="dxa"/>
              <w:bottom w:w="50" w:type="dxa"/>
              <w:end w:w="55" w:type="dxa"/>
            </w:tcMar>
          </w:tcPr>
          <w:p>
            <w:r>
              <w:rPr>
                <w:b/>
                <w:sz w:val="14"/>
              </w:rPr>
              <w:t>Boundary / next</w:t>
            </w:r>
          </w:p>
        </w:tc>
      </w:tr>
      <w:tr>
        <w:tc>
          <w:tcPr>
            <w:tcW w:type="dxa" w:w="567"/>
            <w:tcMar>
              <w:top w:w="45" w:type="dxa"/>
              <w:start w:w="50" w:type="dxa"/>
              <w:bottom w:w="45" w:type="dxa"/>
              <w:end w:w="50" w:type="dxa"/>
            </w:tcMar>
            <w:vAlign w:val="top"/>
          </w:tcPr>
          <w:p>
            <w:pPr>
              <w:spacing w:after="0"/>
            </w:pPr>
            <w:r>
              <w:rPr>
                <w:rFonts w:ascii="Aptos" w:hAnsi="Aptos"/>
                <w:sz w:val="14"/>
              </w:rPr>
              <w:t>E6-01</w:t>
            </w:r>
          </w:p>
        </w:tc>
        <w:tc>
          <w:tcPr>
            <w:tcW w:type="dxa" w:w="1559"/>
            <w:tcMar>
              <w:top w:w="45" w:type="dxa"/>
              <w:start w:w="50" w:type="dxa"/>
              <w:bottom w:w="45" w:type="dxa"/>
              <w:end w:w="50" w:type="dxa"/>
            </w:tcMar>
            <w:vAlign w:val="top"/>
          </w:tcPr>
          <w:p>
            <w:pPr>
              <w:spacing w:after="0"/>
            </w:pPr>
            <w:r>
              <w:rPr>
                <w:rFonts w:ascii="Aptos" w:hAnsi="Aptos"/>
                <w:sz w:val="14"/>
              </w:rPr>
              <w:t>Capstone planning baseline</w:t>
            </w:r>
          </w:p>
        </w:tc>
        <w:tc>
          <w:tcPr>
            <w:tcW w:type="dxa" w:w="1445"/>
            <w:tcMar>
              <w:top w:w="45" w:type="dxa"/>
              <w:start w:w="50" w:type="dxa"/>
              <w:bottom w:w="45" w:type="dxa"/>
              <w:end w:w="50" w:type="dxa"/>
            </w:tcMar>
            <w:vAlign w:val="top"/>
          </w:tcPr>
          <w:p>
            <w:pPr>
              <w:spacing w:after="0"/>
            </w:pPr>
            <w:r>
              <w:rPr>
                <w:rFonts w:ascii="Aptos" w:hAnsi="Aptos"/>
                <w:sz w:val="14"/>
              </w:rPr>
              <w:t>GPO2, GPO3; supporting GPO4,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Supporting</w:t>
            </w:r>
          </w:p>
        </w:tc>
        <w:tc>
          <w:tcPr>
            <w:tcW w:type="dxa" w:w="2636"/>
            <w:tcMar>
              <w:top w:w="45" w:type="dxa"/>
              <w:start w:w="50" w:type="dxa"/>
              <w:bottom w:w="45" w:type="dxa"/>
              <w:end w:w="50" w:type="dxa"/>
            </w:tcMar>
            <w:vAlign w:val="top"/>
          </w:tcPr>
          <w:p>
            <w:pPr>
              <w:spacing w:after="0"/>
            </w:pPr>
            <w:r>
              <w:rPr>
                <w:rFonts w:ascii="Aptos" w:hAnsi="Aptos"/>
                <w:sz w:val="14"/>
              </w:rPr>
              <w:t>The planning baseline separates user need, requirements, implementation and evidence. Scope changes are controlled explicitly rather than hidden as failed or ignored requirements, and the completed stakeholder sessions did not expose a requirement contradiction that needs the…</w:t>
            </w:r>
          </w:p>
        </w:tc>
        <w:tc>
          <w:tcPr>
            <w:tcW w:type="dxa" w:w="2778"/>
            <w:tcMar>
              <w:top w:w="45" w:type="dxa"/>
              <w:start w:w="50" w:type="dxa"/>
              <w:bottom w:w="45" w:type="dxa"/>
              <w:end w:w="50" w:type="dxa"/>
            </w:tcMar>
            <w:vAlign w:val="top"/>
          </w:tcPr>
          <w:p>
            <w:pPr>
              <w:spacing w:after="0"/>
            </w:pPr>
            <w:r>
              <w:rPr>
                <w:rFonts w:ascii="Aptos" w:hAnsi="Aptos"/>
                <w:sz w:val="14"/>
              </w:rPr>
              <w:t>No material planning-scope contradiction remains. Requirements v1.4 and Capstone Brief v1.1 can remain frozen for the current capstone. No further planning evidence action is required. Reopen the baseline only if a genuine contradiction is found during final reconciliation.</w:t>
            </w:r>
          </w:p>
        </w:tc>
      </w:tr>
      <w:tr>
        <w:tc>
          <w:tcPr>
            <w:tcW w:type="dxa" w:w="567"/>
            <w:tcMar>
              <w:top w:w="45" w:type="dxa"/>
              <w:start w:w="50" w:type="dxa"/>
              <w:bottom w:w="45" w:type="dxa"/>
              <w:end w:w="50" w:type="dxa"/>
            </w:tcMar>
            <w:vAlign w:val="top"/>
          </w:tcPr>
          <w:p>
            <w:pPr>
              <w:spacing w:after="0"/>
            </w:pPr>
            <w:r>
              <w:rPr>
                <w:rFonts w:ascii="Aptos" w:hAnsi="Aptos"/>
                <w:sz w:val="14"/>
              </w:rPr>
              <w:t>E6-02</w:t>
            </w:r>
          </w:p>
        </w:tc>
        <w:tc>
          <w:tcPr>
            <w:tcW w:type="dxa" w:w="1559"/>
            <w:tcMar>
              <w:top w:w="45" w:type="dxa"/>
              <w:start w:w="50" w:type="dxa"/>
              <w:bottom w:w="45" w:type="dxa"/>
              <w:end w:w="50" w:type="dxa"/>
            </w:tcMar>
            <w:vAlign w:val="top"/>
          </w:tcPr>
          <w:p>
            <w:pPr>
              <w:spacing w:after="0"/>
            </w:pPr>
            <w:r>
              <w:rPr>
                <w:rFonts w:ascii="Aptos" w:hAnsi="Aptos"/>
                <w:sz w:val="14"/>
              </w:rPr>
              <w:t>Purposeful prototype and critical assumption</w:t>
            </w:r>
          </w:p>
        </w:tc>
        <w:tc>
          <w:tcPr>
            <w:tcW w:type="dxa" w:w="1445"/>
            <w:tcMar>
              <w:top w:w="45" w:type="dxa"/>
              <w:start w:w="50" w:type="dxa"/>
              <w:bottom w:w="45" w:type="dxa"/>
              <w:end w:w="50" w:type="dxa"/>
            </w:tcMar>
            <w:vAlign w:val="top"/>
          </w:tcPr>
          <w:p>
            <w:pPr>
              <w:spacing w:after="0"/>
            </w:pPr>
            <w:r>
              <w:rPr>
                <w:rFonts w:ascii="Aptos" w:hAnsi="Aptos"/>
                <w:sz w:val="14"/>
              </w:rPr>
              <w:t>GPO2, GPO3; supporting GPO4</w:t>
            </w:r>
          </w:p>
        </w:tc>
        <w:tc>
          <w:tcPr>
            <w:tcW w:type="dxa" w:w="1219"/>
            <w:tcMar>
              <w:top w:w="45" w:type="dxa"/>
              <w:start w:w="50" w:type="dxa"/>
              <w:bottom w:w="45" w:type="dxa"/>
              <w:end w:w="50" w:type="dxa"/>
            </w:tcMar>
            <w:vAlign w:val="top"/>
            <w:shd w:fill="E2F0D9"/>
          </w:tcPr>
          <w:p>
            <w:pPr>
              <w:spacing w:after="0"/>
            </w:pPr>
            <w:r>
              <w:rPr>
                <w:rFonts w:ascii="Aptos" w:hAnsi="Aptos"/>
                <w:sz w:val="14"/>
              </w:rPr>
              <w:t>Complete | Supporting + Direct</w:t>
            </w:r>
          </w:p>
        </w:tc>
        <w:tc>
          <w:tcPr>
            <w:tcW w:type="dxa" w:w="2636"/>
            <w:tcMar>
              <w:top w:w="45" w:type="dxa"/>
              <w:start w:w="50" w:type="dxa"/>
              <w:bottom w:w="45" w:type="dxa"/>
              <w:end w:w="50" w:type="dxa"/>
            </w:tcMar>
            <w:vAlign w:val="top"/>
          </w:tcPr>
          <w:p>
            <w:pPr>
              <w:spacing w:after="0"/>
            </w:pPr>
            <w:r>
              <w:rPr>
                <w:rFonts w:ascii="Aptos" w:hAnsi="Aptos"/>
                <w:sz w:val="14"/>
              </w:rPr>
              <w:t>The central purposeful-prototype question has now been tested with two people who had no prior FarmPi exposure. Both could move from the short presentation into useful live application use, but they naturally chose different interaction styles. The result supports retaining both…</w:t>
            </w:r>
          </w:p>
        </w:tc>
        <w:tc>
          <w:tcPr>
            <w:tcW w:type="dxa" w:w="2778"/>
            <w:tcMar>
              <w:top w:w="45" w:type="dxa"/>
              <w:start w:w="50" w:type="dxa"/>
              <w:bottom w:w="45" w:type="dxa"/>
              <w:end w:w="50" w:type="dxa"/>
            </w:tcMar>
            <w:vAlign w:val="top"/>
          </w:tcPr>
          <w:p>
            <w:pPr>
              <w:spacing w:after="0"/>
            </w:pPr>
            <w:r>
              <w:rPr>
                <w:rFonts w:ascii="Aptos" w:hAnsi="Aptos"/>
                <w:sz w:val="14"/>
              </w:rPr>
              <w:t>No further evidence gap remains for the scoped purposeful-prototype question. E6-11 separately retains the incomplete controlled-comparison element as PARTIAL. Carry the revised prototype conclusion into the final LT6 narrative. Do not broaden the claim beyond the two observed participants.</w:t>
            </w:r>
          </w:p>
        </w:tc>
      </w:tr>
      <w:tr>
        <w:tc>
          <w:tcPr>
            <w:tcW w:type="dxa" w:w="567"/>
            <w:tcMar>
              <w:top w:w="45" w:type="dxa"/>
              <w:start w:w="50" w:type="dxa"/>
              <w:bottom w:w="45" w:type="dxa"/>
              <w:end w:w="50" w:type="dxa"/>
            </w:tcMar>
            <w:vAlign w:val="top"/>
          </w:tcPr>
          <w:p>
            <w:pPr>
              <w:spacing w:after="0"/>
            </w:pPr>
            <w:r>
              <w:rPr>
                <w:rFonts w:ascii="Aptos" w:hAnsi="Aptos"/>
                <w:sz w:val="14"/>
              </w:rPr>
              <w:t>E6-03</w:t>
            </w:r>
          </w:p>
        </w:tc>
        <w:tc>
          <w:tcPr>
            <w:tcW w:type="dxa" w:w="1559"/>
            <w:tcMar>
              <w:top w:w="45" w:type="dxa"/>
              <w:start w:w="50" w:type="dxa"/>
              <w:bottom w:w="45" w:type="dxa"/>
              <w:end w:w="50" w:type="dxa"/>
            </w:tcMar>
            <w:vAlign w:val="top"/>
          </w:tcPr>
          <w:p>
            <w:pPr>
              <w:spacing w:after="0"/>
            </w:pPr>
            <w:r>
              <w:rPr>
                <w:rFonts w:ascii="Aptos" w:hAnsi="Aptos"/>
                <w:sz w:val="14"/>
              </w:rPr>
              <w:t>Implemented FarmPi architecture</w:t>
            </w:r>
          </w:p>
        </w:tc>
        <w:tc>
          <w:tcPr>
            <w:tcW w:type="dxa" w:w="1445"/>
            <w:tcMar>
              <w:top w:w="45" w:type="dxa"/>
              <w:start w:w="50" w:type="dxa"/>
              <w:bottom w:w="45" w:type="dxa"/>
              <w:end w:w="50" w:type="dxa"/>
            </w:tcMar>
            <w:vAlign w:val="top"/>
          </w:tcPr>
          <w:p>
            <w:pPr>
              <w:spacing w:after="0"/>
            </w:pPr>
            <w:r>
              <w:rPr>
                <w:rFonts w:ascii="Aptos" w:hAnsi="Aptos"/>
                <w:sz w:val="14"/>
              </w:rPr>
              <w:t>GPO1, GPO2; supporting GPO3, GPO4,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The current repository and live evidence show one integrated application boundary across Raspberry Pi services, MariaDB, Android, two physical managed ESP32-S3 nodes and Pi-local Qwen3 0.6B. T02/T03/T05/T06/T07 are accepted at their stated boundary, and PRs #53/#54 reconcile the…</w:t>
            </w:r>
          </w:p>
        </w:tc>
        <w:tc>
          <w:tcPr>
            <w:tcW w:type="dxa" w:w="2778"/>
            <w:tcMar>
              <w:top w:w="45" w:type="dxa"/>
              <w:start w:w="50" w:type="dxa"/>
              <w:bottom w:w="45" w:type="dxa"/>
              <w:end w:w="50" w:type="dxa"/>
            </w:tcMar>
            <w:vAlign w:val="top"/>
          </w:tcPr>
          <w:p>
            <w:pPr>
              <w:spacing w:after="0"/>
            </w:pPr>
            <w:r>
              <w:rPr>
                <w:rFonts w:ascii="Aptos" w:hAnsi="Aptos"/>
                <w:sz w:val="14"/>
              </w:rPr>
              <w:t>No named architecture or integration evidence gap remains for the scoped concept demonstrator. T01 and E6-11 are separate bounded partial results, not architecture defects. No further architecture evidence action is required. Preserve the current demonstrator and exact evidence versions; change it only for a…</w:t>
            </w:r>
          </w:p>
        </w:tc>
      </w:tr>
      <w:tr>
        <w:tc>
          <w:tcPr>
            <w:tcW w:type="dxa" w:w="567"/>
            <w:tcMar>
              <w:top w:w="45" w:type="dxa"/>
              <w:start w:w="50" w:type="dxa"/>
              <w:bottom w:w="45" w:type="dxa"/>
              <w:end w:w="50" w:type="dxa"/>
            </w:tcMar>
            <w:vAlign w:val="top"/>
          </w:tcPr>
          <w:p>
            <w:pPr>
              <w:spacing w:after="0"/>
            </w:pPr>
            <w:r>
              <w:rPr>
                <w:rFonts w:ascii="Aptos" w:hAnsi="Aptos"/>
                <w:sz w:val="14"/>
              </w:rPr>
              <w:t>E6-04</w:t>
            </w:r>
          </w:p>
        </w:tc>
        <w:tc>
          <w:tcPr>
            <w:tcW w:type="dxa" w:w="1559"/>
            <w:tcMar>
              <w:top w:w="45" w:type="dxa"/>
              <w:start w:w="50" w:type="dxa"/>
              <w:bottom w:w="45" w:type="dxa"/>
              <w:end w:w="50" w:type="dxa"/>
            </w:tcMar>
            <w:vAlign w:val="top"/>
          </w:tcPr>
          <w:p>
            <w:pPr>
              <w:spacing w:after="0"/>
            </w:pPr>
            <w:r>
              <w:rPr>
                <w:rFonts w:ascii="Aptos" w:hAnsi="Aptos"/>
                <w:sz w:val="14"/>
              </w:rPr>
              <w:t>AI collaboration and my development judgement</w:t>
            </w:r>
          </w:p>
        </w:tc>
        <w:tc>
          <w:tcPr>
            <w:tcW w:type="dxa" w:w="1445"/>
            <w:tcMar>
              <w:top w:w="45" w:type="dxa"/>
              <w:start w:w="50" w:type="dxa"/>
              <w:bottom w:w="45" w:type="dxa"/>
              <w:end w:w="50" w:type="dxa"/>
            </w:tcMar>
            <w:vAlign w:val="top"/>
          </w:tcPr>
          <w:p>
            <w:pPr>
              <w:spacing w:after="0"/>
            </w:pPr>
            <w:r>
              <w:rPr>
                <w:rFonts w:ascii="Aptos" w:hAnsi="Aptos"/>
                <w:sz w:val="14"/>
              </w:rPr>
              <w:t>GPO3; supporting GPO2, GPO4, GPO5,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Supporting</w:t>
            </w:r>
          </w:p>
        </w:tc>
        <w:tc>
          <w:tcPr>
            <w:tcW w:type="dxa" w:w="2636"/>
            <w:tcMar>
              <w:top w:w="45" w:type="dxa"/>
              <w:start w:w="50" w:type="dxa"/>
              <w:bottom w:w="45" w:type="dxa"/>
              <w:end w:w="50" w:type="dxa"/>
            </w:tcMar>
            <w:vAlign w:val="top"/>
          </w:tcPr>
          <w:p>
            <w:pPr>
              <w:spacing w:after="0"/>
            </w:pPr>
            <w:r>
              <w:rPr>
                <w:rFonts w:ascii="Aptos" w:hAnsi="Aptos"/>
                <w:sz w:val="14"/>
              </w:rPr>
              <w:t>The record contains repeated examples where AI proposals were accepted, challenged, reduced, redirected or rejected and where the consequences were checked. AI has operated most usefully as a teammate/co-worker with stronger detailed coding knowledge in some areas, while Jeremy…</w:t>
            </w:r>
          </w:p>
        </w:tc>
        <w:tc>
          <w:tcPr>
            <w:tcW w:type="dxa" w:w="2778"/>
            <w:tcMar>
              <w:top w:w="45" w:type="dxa"/>
              <w:start w:w="50" w:type="dxa"/>
              <w:bottom w:w="45" w:type="dxa"/>
              <w:end w:w="50" w:type="dxa"/>
            </w:tcMar>
            <w:vAlign w:val="top"/>
          </w:tcPr>
          <w:p>
            <w:pPr>
              <w:spacing w:after="0"/>
            </w:pPr>
            <w:r>
              <w:rPr>
                <w:rFonts w:ascii="Aptos" w:hAnsi="Aptos"/>
                <w:sz w:val="14"/>
              </w:rPr>
              <w:t>No material evidence-maintenance gap remains for this claim. The final LT6 only needs to select the strongest examples rather than rely on volume. No further evidence collection is required. Carry the clearest collaboration cases into the final reflection while keeping human responsibility explicit.</w:t>
            </w:r>
          </w:p>
        </w:tc>
      </w:tr>
      <w:tr>
        <w:tc>
          <w:tcPr>
            <w:tcW w:type="dxa" w:w="567"/>
            <w:tcMar>
              <w:top w:w="45" w:type="dxa"/>
              <w:start w:w="50" w:type="dxa"/>
              <w:bottom w:w="45" w:type="dxa"/>
              <w:end w:w="50" w:type="dxa"/>
            </w:tcMar>
            <w:vAlign w:val="top"/>
          </w:tcPr>
          <w:p>
            <w:pPr>
              <w:spacing w:after="0"/>
            </w:pPr>
            <w:r>
              <w:rPr>
                <w:rFonts w:ascii="Aptos" w:hAnsi="Aptos"/>
                <w:sz w:val="14"/>
              </w:rPr>
              <w:t>E6-05</w:t>
            </w:r>
          </w:p>
        </w:tc>
        <w:tc>
          <w:tcPr>
            <w:tcW w:type="dxa" w:w="1559"/>
            <w:tcMar>
              <w:top w:w="45" w:type="dxa"/>
              <w:start w:w="50" w:type="dxa"/>
              <w:bottom w:w="45" w:type="dxa"/>
              <w:end w:w="50" w:type="dxa"/>
            </w:tcMar>
            <w:vAlign w:val="top"/>
          </w:tcPr>
          <w:p>
            <w:pPr>
              <w:spacing w:after="0"/>
            </w:pPr>
            <w:r>
              <w:rPr>
                <w:rFonts w:ascii="Aptos" w:hAnsi="Aptos"/>
                <w:sz w:val="14"/>
              </w:rPr>
              <w:t>Guardrail architecture redesign</w:t>
            </w:r>
          </w:p>
        </w:tc>
        <w:tc>
          <w:tcPr>
            <w:tcW w:type="dxa" w:w="1445"/>
            <w:tcMar>
              <w:top w:w="45" w:type="dxa"/>
              <w:start w:w="50" w:type="dxa"/>
              <w:bottom w:w="45" w:type="dxa"/>
              <w:end w:w="50" w:type="dxa"/>
            </w:tcMar>
            <w:vAlign w:val="top"/>
          </w:tcPr>
          <w:p>
            <w:pPr>
              <w:spacing w:after="0"/>
            </w:pPr>
            <w:r>
              <w:rPr>
                <w:rFonts w:ascii="Aptos" w:hAnsi="Aptos"/>
                <w:sz w:val="14"/>
              </w:rPr>
              <w:t>GPO2, GPO3; supporting GPO4,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T05 demonstrates the intended authority boundary across direct facts, comparison/graph results, semantic interpretation, general explanation, unsupported measurements, conflicting user assertions, source capability limits, forecast/decision boundaries, contextual follow-up and…</w:t>
            </w:r>
          </w:p>
        </w:tc>
        <w:tc>
          <w:tcPr>
            <w:tcW w:type="dxa" w:w="2778"/>
            <w:tcMar>
              <w:top w:w="45" w:type="dxa"/>
              <w:start w:w="50" w:type="dxa"/>
              <w:bottom w:w="45" w:type="dxa"/>
              <w:end w:w="50" w:type="dxa"/>
            </w:tcMar>
            <w:vAlign w:val="top"/>
          </w:tcPr>
          <w:p>
            <w:pPr>
              <w:spacing w:after="0"/>
            </w:pPr>
            <w:r>
              <w:rPr>
                <w:rFonts w:ascii="Aptos" w:hAnsi="Aptos"/>
                <w:sz w:val="14"/>
              </w:rPr>
              <w:t>No material acceptance gap remains for this scoped authority-boundary claim. T05 is PASS. Model-assisted latency remains a documented limitation rather than a correctness failure. No further functional acceptance action is required. Carry the T05 evidence, failure cases and latency limitation into the final…</w:t>
            </w:r>
          </w:p>
        </w:tc>
      </w:tr>
      <w:tr>
        <w:tc>
          <w:tcPr>
            <w:tcW w:type="dxa" w:w="567"/>
            <w:tcMar>
              <w:top w:w="45" w:type="dxa"/>
              <w:start w:w="50" w:type="dxa"/>
              <w:bottom w:w="45" w:type="dxa"/>
              <w:end w:w="50" w:type="dxa"/>
            </w:tcMar>
            <w:vAlign w:val="top"/>
          </w:tcPr>
          <w:p>
            <w:pPr>
              <w:spacing w:after="0"/>
            </w:pPr>
            <w:r>
              <w:rPr>
                <w:rFonts w:ascii="Aptos" w:hAnsi="Aptos"/>
                <w:sz w:val="14"/>
              </w:rPr>
              <w:t>E6-06</w:t>
            </w:r>
          </w:p>
        </w:tc>
        <w:tc>
          <w:tcPr>
            <w:tcW w:type="dxa" w:w="1559"/>
            <w:tcMar>
              <w:top w:w="45" w:type="dxa"/>
              <w:start w:w="50" w:type="dxa"/>
              <w:bottom w:w="45" w:type="dxa"/>
              <w:end w:w="50" w:type="dxa"/>
            </w:tcMar>
            <w:vAlign w:val="top"/>
          </w:tcPr>
          <w:p>
            <w:pPr>
              <w:spacing w:after="0"/>
            </w:pPr>
            <w:r>
              <w:rPr>
                <w:rFonts w:ascii="Aptos" w:hAnsi="Aptos"/>
                <w:sz w:val="14"/>
              </w:rPr>
              <w:t>Local voice processing decision</w:t>
            </w:r>
          </w:p>
        </w:tc>
        <w:tc>
          <w:tcPr>
            <w:tcW w:type="dxa" w:w="1445"/>
            <w:tcMar>
              <w:top w:w="45" w:type="dxa"/>
              <w:start w:w="50" w:type="dxa"/>
              <w:bottom w:w="45" w:type="dxa"/>
              <w:end w:w="50" w:type="dxa"/>
            </w:tcMar>
            <w:vAlign w:val="top"/>
          </w:tcPr>
          <w:p>
            <w:pPr>
              <w:spacing w:after="0"/>
            </w:pPr>
            <w:r>
              <w:rPr>
                <w:rFonts w:ascii="Aptos" w:hAnsi="Aptos"/>
                <w:sz w:val="14"/>
              </w:rPr>
              <w:t>GPO1, GPO2, GPO3,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Supporting + Direct</w:t>
            </w:r>
          </w:p>
        </w:tc>
        <w:tc>
          <w:tcPr>
            <w:tcW w:type="dxa" w:w="2636"/>
            <w:tcMar>
              <w:top w:w="45" w:type="dxa"/>
              <w:start w:w="50" w:type="dxa"/>
              <w:bottom w:w="45" w:type="dxa"/>
              <w:end w:w="50" w:type="dxa"/>
            </w:tcMar>
            <w:vAlign w:val="top"/>
          </w:tcPr>
          <w:p>
            <w:pPr>
              <w:spacing w:after="0"/>
            </w:pPr>
            <w:r>
              <w:rPr>
                <w:rFonts w:ascii="Aptos" w:hAnsi="Aptos"/>
                <w:sz w:val="14"/>
              </w:rPr>
              <w:t>The client-side allocation works in normal prototype use and supports both modalities without duplicating speech services on the Pi. The stakeholder sessions strengthen the decision: one participant naturally typed while the farmer naturally spoke, and both obtained useful Ask FarmPi…</w:t>
            </w:r>
          </w:p>
        </w:tc>
        <w:tc>
          <w:tcPr>
            <w:tcW w:type="dxa" w:w="2778"/>
            <w:tcMar>
              <w:top w:w="45" w:type="dxa"/>
              <w:start w:w="50" w:type="dxa"/>
              <w:bottom w:w="45" w:type="dxa"/>
              <w:end w:w="50" w:type="dxa"/>
            </w:tcMar>
            <w:vAlign w:val="top"/>
          </w:tcPr>
          <w:p>
            <w:pPr>
              <w:spacing w:after="0"/>
            </w:pPr>
            <w:r>
              <w:rPr>
                <w:rFonts w:ascii="Aptos" w:hAnsi="Aptos"/>
                <w:sz w:val="14"/>
              </w:rPr>
              <w:t>No architecture evidence gap remains for where voice belongs. The two sessions also show that conversational access should not be treated as voice-only. No further evidence action is required for this allocation decision. Retain both typed and spoken Ask FarmPi support.</w:t>
            </w:r>
          </w:p>
        </w:tc>
      </w:tr>
      <w:tr>
        <w:tc>
          <w:tcPr>
            <w:tcW w:type="dxa" w:w="567"/>
            <w:tcMar>
              <w:top w:w="45" w:type="dxa"/>
              <w:start w:w="50" w:type="dxa"/>
              <w:bottom w:w="45" w:type="dxa"/>
              <w:end w:w="50" w:type="dxa"/>
            </w:tcMar>
            <w:vAlign w:val="top"/>
          </w:tcPr>
          <w:p>
            <w:pPr>
              <w:spacing w:after="0"/>
            </w:pPr>
            <w:r>
              <w:rPr>
                <w:rFonts w:ascii="Aptos" w:hAnsi="Aptos"/>
                <w:sz w:val="14"/>
              </w:rPr>
              <w:t>E6-07</w:t>
            </w:r>
          </w:p>
        </w:tc>
        <w:tc>
          <w:tcPr>
            <w:tcW w:type="dxa" w:w="1559"/>
            <w:tcMar>
              <w:top w:w="45" w:type="dxa"/>
              <w:start w:w="50" w:type="dxa"/>
              <w:bottom w:w="45" w:type="dxa"/>
              <w:end w:w="50" w:type="dxa"/>
            </w:tcMar>
            <w:vAlign w:val="top"/>
          </w:tcPr>
          <w:p>
            <w:pPr>
              <w:spacing w:after="0"/>
            </w:pPr>
            <w:r>
              <w:rPr>
                <w:rFonts w:ascii="Aptos" w:hAnsi="Aptos"/>
                <w:sz w:val="14"/>
              </w:rPr>
              <w:t>Small model and hardware trade off</w:t>
            </w:r>
          </w:p>
        </w:tc>
        <w:tc>
          <w:tcPr>
            <w:tcW w:type="dxa" w:w="1445"/>
            <w:tcMar>
              <w:top w:w="45" w:type="dxa"/>
              <w:start w:w="50" w:type="dxa"/>
              <w:bottom w:w="45" w:type="dxa"/>
              <w:end w:w="50" w:type="dxa"/>
            </w:tcMar>
            <w:vAlign w:val="top"/>
          </w:tcPr>
          <w:p>
            <w:pPr>
              <w:spacing w:after="0"/>
            </w:pPr>
            <w:r>
              <w:rPr>
                <w:rFonts w:ascii="Aptos" w:hAnsi="Aptos"/>
                <w:sz w:val="14"/>
              </w:rPr>
              <w:t>GPO2, GPO3; supporting GPO4,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The current proof-of-concept uses Pi-local Qwen3 0.6B Q4_K_M through llama-server. Historical larger-model trials remain comparison evidence. T05 shows the small model can fulfil the bounded semantic/explanation role while deterministic routes remain application-owned. Both…</w:t>
            </w:r>
          </w:p>
        </w:tc>
        <w:tc>
          <w:tcPr>
            <w:tcW w:type="dxa" w:w="2778"/>
            <w:tcMar>
              <w:top w:w="45" w:type="dxa"/>
              <w:start w:w="50" w:type="dxa"/>
              <w:bottom w:w="45" w:type="dxa"/>
              <w:end w:w="50" w:type="dxa"/>
            </w:tcMar>
            <w:vAlign w:val="top"/>
          </w:tcPr>
          <w:p>
            <w:pPr>
              <w:spacing w:after="0"/>
            </w:pPr>
            <w:r>
              <w:rPr>
                <w:rFonts w:ascii="Aptos" w:hAnsi="Aptos"/>
                <w:sz w:val="14"/>
              </w:rPr>
              <w:t>The model/hardware trade-off is sufficiently evidenced for the current concept demonstrator. Latency remains a known limitation, not an unresolved evidence action. No further capstone evidence action is required. Reopen model/hardware selection only for a future requirement or a demonstrated usability…</w:t>
            </w:r>
          </w:p>
        </w:tc>
      </w:tr>
      <w:tr>
        <w:tc>
          <w:tcPr>
            <w:tcW w:type="dxa" w:w="567"/>
            <w:tcMar>
              <w:top w:w="45" w:type="dxa"/>
              <w:start w:w="50" w:type="dxa"/>
              <w:bottom w:w="45" w:type="dxa"/>
              <w:end w:w="50" w:type="dxa"/>
            </w:tcMar>
            <w:vAlign w:val="top"/>
          </w:tcPr>
          <w:p>
            <w:pPr>
              <w:spacing w:after="0"/>
            </w:pPr>
            <w:r>
              <w:rPr>
                <w:rFonts w:ascii="Aptos" w:hAnsi="Aptos"/>
                <w:sz w:val="14"/>
              </w:rPr>
              <w:t>E6-08</w:t>
            </w:r>
          </w:p>
        </w:tc>
        <w:tc>
          <w:tcPr>
            <w:tcW w:type="dxa" w:w="1559"/>
            <w:tcMar>
              <w:top w:w="45" w:type="dxa"/>
              <w:start w:w="50" w:type="dxa"/>
              <w:bottom w:w="45" w:type="dxa"/>
              <w:end w:w="50" w:type="dxa"/>
            </w:tcMar>
            <w:vAlign w:val="top"/>
          </w:tcPr>
          <w:p>
            <w:pPr>
              <w:spacing w:after="0"/>
            </w:pPr>
            <w:r>
              <w:rPr>
                <w:rFonts w:ascii="Aptos" w:hAnsi="Aptos"/>
                <w:sz w:val="14"/>
              </w:rPr>
              <w:t>Requirements traceability</w:t>
            </w:r>
          </w:p>
        </w:tc>
        <w:tc>
          <w:tcPr>
            <w:tcW w:type="dxa" w:w="1445"/>
            <w:tcMar>
              <w:top w:w="45" w:type="dxa"/>
              <w:start w:w="50" w:type="dxa"/>
              <w:bottom w:w="45" w:type="dxa"/>
              <w:end w:w="50" w:type="dxa"/>
            </w:tcMar>
            <w:vAlign w:val="top"/>
          </w:tcPr>
          <w:p>
            <w:pPr>
              <w:spacing w:after="0"/>
            </w:pPr>
            <w:r>
              <w:rPr>
                <w:rFonts w:ascii="Aptos" w:hAnsi="Aptos"/>
                <w:sz w:val="14"/>
              </w:rPr>
              <w:t>GPO2, GPO3; supporting GPO4,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The current baseline has a controlled chain from need and requirement identifiers to accepted, partial or deferred technical states, and now to the human usability evidence. T02/T03/T05/T07 are PASS, T06 is accepted, T04 is deferred, T01 remains PARTIAL at 1/6, and E6-11 remains…</w:t>
            </w:r>
          </w:p>
        </w:tc>
        <w:tc>
          <w:tcPr>
            <w:tcW w:type="dxa" w:w="2778"/>
            <w:tcMar>
              <w:top w:w="45" w:type="dxa"/>
              <w:start w:w="50" w:type="dxa"/>
              <w:bottom w:w="45" w:type="dxa"/>
              <w:end w:w="50" w:type="dxa"/>
            </w:tcMar>
            <w:vAlign w:val="top"/>
          </w:tcPr>
          <w:p>
            <w:pPr>
              <w:spacing w:after="0"/>
            </w:pPr>
            <w:r>
              <w:rPr>
                <w:rFonts w:ascii="Aptos" w:hAnsi="Aptos"/>
                <w:sz w:val="14"/>
              </w:rPr>
              <w:t>No material governance contradiction remains. The remaining work is document/GPO narrative alignment, not missing project-state traceability. Preserve the requirement/result baseline and update the GPO mapping/LT6 to match this control. Do not rewrite partial results into passes.</w:t>
            </w:r>
          </w:p>
        </w:tc>
      </w:tr>
      <w:tr>
        <w:tc>
          <w:tcPr>
            <w:tcW w:type="dxa" w:w="567"/>
            <w:tcMar>
              <w:top w:w="45" w:type="dxa"/>
              <w:start w:w="50" w:type="dxa"/>
              <w:bottom w:w="45" w:type="dxa"/>
              <w:end w:w="50" w:type="dxa"/>
            </w:tcMar>
            <w:vAlign w:val="top"/>
          </w:tcPr>
          <w:p>
            <w:pPr>
              <w:spacing w:after="0"/>
            </w:pPr>
            <w:r>
              <w:rPr>
                <w:rFonts w:ascii="Aptos" w:hAnsi="Aptos"/>
                <w:sz w:val="14"/>
              </w:rPr>
              <w:t>E6-09</w:t>
            </w:r>
          </w:p>
        </w:tc>
        <w:tc>
          <w:tcPr>
            <w:tcW w:type="dxa" w:w="1559"/>
            <w:tcMar>
              <w:top w:w="45" w:type="dxa"/>
              <w:start w:w="50" w:type="dxa"/>
              <w:bottom w:w="45" w:type="dxa"/>
              <w:end w:w="50" w:type="dxa"/>
            </w:tcMar>
            <w:vAlign w:val="top"/>
          </w:tcPr>
          <w:p>
            <w:pPr>
              <w:spacing w:after="0"/>
            </w:pPr>
            <w:r>
              <w:rPr>
                <w:rFonts w:ascii="Aptos" w:hAnsi="Aptos"/>
                <w:sz w:val="14"/>
              </w:rPr>
              <w:t>Human stakeholder conversations</w:t>
            </w:r>
          </w:p>
        </w:tc>
        <w:tc>
          <w:tcPr>
            <w:tcW w:type="dxa" w:w="1445"/>
            <w:tcMar>
              <w:top w:w="45" w:type="dxa"/>
              <w:start w:w="50" w:type="dxa"/>
              <w:bottom w:w="45" w:type="dxa"/>
              <w:end w:w="50" w:type="dxa"/>
            </w:tcMar>
            <w:vAlign w:val="top"/>
          </w:tcPr>
          <w:p>
            <w:pPr>
              <w:spacing w:after="0"/>
            </w:pPr>
            <w:r>
              <w:rPr>
                <w:rFonts w:ascii="Aptos" w:hAnsi="Aptos"/>
                <w:sz w:val="14"/>
              </w:rPr>
              <w:t>GPO2, GPO5; conditional GPO3,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 human + Corroborating</w:t>
            </w:r>
          </w:p>
        </w:tc>
        <w:tc>
          <w:tcPr>
            <w:tcW w:type="dxa" w:w="2636"/>
            <w:tcMar>
              <w:top w:w="45" w:type="dxa"/>
              <w:start w:w="50" w:type="dxa"/>
              <w:bottom w:w="45" w:type="dxa"/>
              <w:end w:w="50" w:type="dxa"/>
            </w:tcMar>
            <w:vAlign w:val="top"/>
          </w:tcPr>
          <w:p>
            <w:pPr>
              <w:spacing w:after="0"/>
            </w:pPr>
            <w:r>
              <w:rPr>
                <w:rFonts w:ascii="Aptos" w:hAnsi="Aptos"/>
                <w:sz w:val="14"/>
              </w:rPr>
              <w:t>Two dated human sessions now show what minimum explanation was sufficient for these participants before phone use. One participant was a general non-technical user and one was a farmer. Both could use FarmPi after the presentation pack, both valued the pictures, and both preferred a…</w:t>
            </w:r>
          </w:p>
        </w:tc>
        <w:tc>
          <w:tcPr>
            <w:tcW w:type="dxa" w:w="2778"/>
            <w:tcMar>
              <w:top w:w="45" w:type="dxa"/>
              <w:start w:w="50" w:type="dxa"/>
              <w:bottom w:w="45" w:type="dxa"/>
              <w:end w:w="50" w:type="dxa"/>
            </w:tcMar>
            <w:vAlign w:val="top"/>
          </w:tcPr>
          <w:p>
            <w:pPr>
              <w:spacing w:after="0"/>
            </w:pPr>
            <w:r>
              <w:rPr>
                <w:rFonts w:ascii="Aptos" w:hAnsi="Aptos"/>
                <w:sz w:val="14"/>
              </w:rPr>
              <w:t>No remaining evidence gap exists for the scoped two-participant stakeholder-conversation claim. No further participant session is required for the current capstone. Preserve the two individual records and the consolidated summary.</w:t>
            </w:r>
          </w:p>
        </w:tc>
      </w:tr>
      <w:tr>
        <w:tc>
          <w:tcPr>
            <w:tcW w:type="dxa" w:w="567"/>
            <w:tcMar>
              <w:top w:w="45" w:type="dxa"/>
              <w:start w:w="50" w:type="dxa"/>
              <w:bottom w:w="45" w:type="dxa"/>
              <w:end w:w="50" w:type="dxa"/>
            </w:tcMar>
            <w:vAlign w:val="top"/>
          </w:tcPr>
          <w:p>
            <w:pPr>
              <w:spacing w:after="0"/>
            </w:pPr>
            <w:r>
              <w:rPr>
                <w:rFonts w:ascii="Aptos" w:hAnsi="Aptos"/>
                <w:sz w:val="14"/>
              </w:rPr>
              <w:t>E6-10</w:t>
            </w:r>
          </w:p>
        </w:tc>
        <w:tc>
          <w:tcPr>
            <w:tcW w:type="dxa" w:w="1559"/>
            <w:tcMar>
              <w:top w:w="45" w:type="dxa"/>
              <w:start w:w="50" w:type="dxa"/>
              <w:bottom w:w="45" w:type="dxa"/>
              <w:end w:w="50" w:type="dxa"/>
            </w:tcMar>
            <w:vAlign w:val="top"/>
          </w:tcPr>
          <w:p>
            <w:pPr>
              <w:spacing w:after="0"/>
            </w:pPr>
            <w:r>
              <w:rPr>
                <w:rFonts w:ascii="Aptos" w:hAnsi="Aptos"/>
                <w:sz w:val="14"/>
              </w:rPr>
              <w:t>Stakeholder feedback changing or validating design</w:t>
            </w:r>
          </w:p>
        </w:tc>
        <w:tc>
          <w:tcPr>
            <w:tcW w:type="dxa" w:w="1445"/>
            <w:tcMar>
              <w:top w:w="45" w:type="dxa"/>
              <w:start w:w="50" w:type="dxa"/>
              <w:bottom w:w="45" w:type="dxa"/>
              <w:end w:w="50" w:type="dxa"/>
            </w:tcMar>
            <w:vAlign w:val="top"/>
          </w:tcPr>
          <w:p>
            <w:pPr>
              <w:spacing w:after="0"/>
            </w:pPr>
            <w:r>
              <w:rPr>
                <w:rFonts w:ascii="Aptos" w:hAnsi="Aptos"/>
                <w:sz w:val="14"/>
              </w:rPr>
              <w:t>GPO2, GPO3, GPO5; conditional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The participant evidence now leads to explicit decisions: retain both fixed and conversational routes; recommend a short guided installation walkthrough; keep the strong visual material while reducing duplicated text; simplify the provenance/trust question; retain both typed and…</w:t>
            </w:r>
          </w:p>
        </w:tc>
        <w:tc>
          <w:tcPr>
            <w:tcW w:type="dxa" w:w="2778"/>
            <w:tcMar>
              <w:top w:w="45" w:type="dxa"/>
              <w:start w:w="50" w:type="dxa"/>
              <w:bottom w:w="45" w:type="dxa"/>
              <w:end w:w="50" w:type="dxa"/>
            </w:tcMar>
            <w:vAlign w:val="top"/>
          </w:tcPr>
          <w:p>
            <w:pPr>
              <w:spacing w:after="0"/>
            </w:pPr>
            <w:r>
              <w:rPr>
                <w:rFonts w:ascii="Aptos" w:hAnsi="Aptos"/>
                <w:sz w:val="14"/>
              </w:rPr>
              <w:t>No remaining evidence gap exists for the scoped feedback-to-decision claim. Some decisions are future design/documentation responses rather than implemented features, and are labelled that way. No further evidence collection is required. Carry the decisions and their limits into the final LT6 narrative and…</w:t>
            </w:r>
          </w:p>
        </w:tc>
      </w:tr>
      <w:tr>
        <w:tc>
          <w:tcPr>
            <w:tcW w:type="dxa" w:w="567"/>
            <w:tcMar>
              <w:top w:w="45" w:type="dxa"/>
              <w:start w:w="50" w:type="dxa"/>
              <w:bottom w:w="45" w:type="dxa"/>
              <w:end w:w="50" w:type="dxa"/>
            </w:tcMar>
            <w:vAlign w:val="top"/>
          </w:tcPr>
          <w:p>
            <w:pPr>
              <w:spacing w:after="0"/>
            </w:pPr>
            <w:r>
              <w:rPr>
                <w:rFonts w:ascii="Aptos" w:hAnsi="Aptos"/>
                <w:sz w:val="14"/>
              </w:rPr>
              <w:t>E6-11</w:t>
            </w:r>
          </w:p>
        </w:tc>
        <w:tc>
          <w:tcPr>
            <w:tcW w:type="dxa" w:w="1559"/>
            <w:tcMar>
              <w:top w:w="45" w:type="dxa"/>
              <w:start w:w="50" w:type="dxa"/>
              <w:bottom w:w="45" w:type="dxa"/>
              <w:end w:w="50" w:type="dxa"/>
            </w:tcMar>
            <w:vAlign w:val="top"/>
          </w:tcPr>
          <w:p>
            <w:pPr>
              <w:spacing w:after="0"/>
            </w:pPr>
            <w:r>
              <w:rPr>
                <w:rFonts w:ascii="Aptos" w:hAnsi="Aptos"/>
                <w:sz w:val="14"/>
              </w:rPr>
              <w:t>Beta usability and conversational interface test</w:t>
            </w:r>
          </w:p>
        </w:tc>
        <w:tc>
          <w:tcPr>
            <w:tcW w:type="dxa" w:w="1445"/>
            <w:tcMar>
              <w:top w:w="45" w:type="dxa"/>
              <w:start w:w="50" w:type="dxa"/>
              <w:bottom w:w="45" w:type="dxa"/>
              <w:end w:w="50" w:type="dxa"/>
            </w:tcMar>
            <w:vAlign w:val="top"/>
          </w:tcPr>
          <w:p>
            <w:pPr>
              <w:spacing w:after="0"/>
            </w:pPr>
            <w:r>
              <w:rPr>
                <w:rFonts w:ascii="Aptos" w:hAnsi="Aptos"/>
                <w:sz w:val="14"/>
              </w:rPr>
              <w:t>GPO2, GPO3, GPO5</w:t>
            </w:r>
          </w:p>
        </w:tc>
        <w:tc>
          <w:tcPr>
            <w:tcW w:type="dxa" w:w="1219"/>
            <w:tcMar>
              <w:top w:w="45" w:type="dxa"/>
              <w:start w:w="50" w:type="dxa"/>
              <w:bottom w:w="45" w:type="dxa"/>
              <w:end w:w="50" w:type="dxa"/>
            </w:tcMar>
            <w:vAlign w:val="top"/>
            <w:shd w:fill="FFF2CC"/>
          </w:tcPr>
          <w:p>
            <w:pPr>
              <w:spacing w:after="0"/>
            </w:pPr>
            <w:r>
              <w:rPr>
                <w:rFonts w:ascii="Aptos" w:hAnsi="Aptos"/>
                <w:sz w:val="14"/>
              </w:rPr>
              <w:t>Partial | Direct</w:t>
            </w:r>
          </w:p>
        </w:tc>
        <w:tc>
          <w:tcPr>
            <w:tcW w:type="dxa" w:w="2636"/>
            <w:tcMar>
              <w:top w:w="45" w:type="dxa"/>
              <w:start w:w="50" w:type="dxa"/>
              <w:bottom w:w="45" w:type="dxa"/>
              <w:end w:w="50" w:type="dxa"/>
            </w:tcMar>
            <w:vAlign w:val="top"/>
          </w:tcPr>
          <w:p>
            <w:pPr>
              <w:spacing w:after="0"/>
            </w:pPr>
            <w:r>
              <w:rPr>
                <w:rFonts w:ascii="Aptos" w:hAnsi="Aptos"/>
                <w:sz w:val="14"/>
              </w:rPr>
              <w:t>Real usability evidence now exists. Both participants transferred the presentation-pack concepts into the live application without recorded task coaching, both obtained useful information, and both used Ask FarmPi successfully when they chose it. P001 naturally preferred the fixed…</w:t>
            </w:r>
          </w:p>
        </w:tc>
        <w:tc>
          <w:tcPr>
            <w:tcW w:type="dxa" w:w="2778"/>
            <w:tcMar>
              <w:top w:w="45" w:type="dxa"/>
              <w:start w:w="50" w:type="dxa"/>
              <w:bottom w:w="45" w:type="dxa"/>
              <w:end w:w="50" w:type="dxa"/>
            </w:tcMar>
            <w:vAlign w:val="top"/>
          </w:tcPr>
          <w:p>
            <w:pPr>
              <w:spacing w:after="0"/>
            </w:pPr>
            <w:r>
              <w:rPr>
                <w:rFonts w:ascii="Aptos" w:hAnsi="Aptos"/>
                <w:sz w:val="14"/>
              </w:rPr>
              <w:t>The controlled-comparison component remains incomplete. This is retained as a final PARTIAL result rather than reconstructed or pursued through unavailable additional participants. No further participant session is planned for the current capstone. Preserve E6-11 as PARTIAL and carry its qualitative findings…</w:t>
            </w:r>
          </w:p>
        </w:tc>
      </w:tr>
      <w:tr>
        <w:tc>
          <w:tcPr>
            <w:tcW w:type="dxa" w:w="567"/>
            <w:tcMar>
              <w:top w:w="45" w:type="dxa"/>
              <w:start w:w="50" w:type="dxa"/>
              <w:bottom w:w="45" w:type="dxa"/>
              <w:end w:w="50" w:type="dxa"/>
            </w:tcMar>
            <w:vAlign w:val="top"/>
          </w:tcPr>
          <w:p>
            <w:pPr>
              <w:spacing w:after="0"/>
            </w:pPr>
            <w:r>
              <w:rPr>
                <w:rFonts w:ascii="Aptos" w:hAnsi="Aptos"/>
                <w:sz w:val="14"/>
              </w:rPr>
              <w:t>E6-12</w:t>
            </w:r>
          </w:p>
        </w:tc>
        <w:tc>
          <w:tcPr>
            <w:tcW w:type="dxa" w:w="1559"/>
            <w:tcMar>
              <w:top w:w="45" w:type="dxa"/>
              <w:start w:w="50" w:type="dxa"/>
              <w:bottom w:w="45" w:type="dxa"/>
              <w:end w:w="50" w:type="dxa"/>
            </w:tcMar>
            <w:vAlign w:val="top"/>
          </w:tcPr>
          <w:p>
            <w:pPr>
              <w:spacing w:after="0"/>
            </w:pPr>
            <w:r>
              <w:rPr>
                <w:rFonts w:ascii="Aptos" w:hAnsi="Aptos"/>
                <w:sz w:val="14"/>
              </w:rPr>
              <w:t>Grounding provenance and failure testing</w:t>
            </w:r>
          </w:p>
        </w:tc>
        <w:tc>
          <w:tcPr>
            <w:tcW w:type="dxa" w:w="1445"/>
            <w:tcMar>
              <w:top w:w="45" w:type="dxa"/>
              <w:start w:w="50" w:type="dxa"/>
              <w:bottom w:w="45" w:type="dxa"/>
              <w:end w:w="50" w:type="dxa"/>
            </w:tcMar>
            <w:vAlign w:val="top"/>
          </w:tcPr>
          <w:p>
            <w:pPr>
              <w:spacing w:after="0"/>
            </w:pPr>
            <w:r>
              <w:rPr>
                <w:rFonts w:ascii="Aptos" w:hAnsi="Aptos"/>
                <w:sz w:val="14"/>
              </w:rPr>
              <w:t>GPO2, GPO3; supporting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T05 live acceptance covers deterministic facts/graphs/comparisons, semantic interpretation, provenance, general explanation, unsupported data, ambiguity recovery, conflicting user assertions, external-source capability limits, forecast/decision boundaries, contextual follow-up,…</w:t>
            </w:r>
          </w:p>
        </w:tc>
        <w:tc>
          <w:tcPr>
            <w:tcW w:type="dxa" w:w="2778"/>
            <w:tcMar>
              <w:top w:w="45" w:type="dxa"/>
              <w:start w:w="50" w:type="dxa"/>
              <w:bottom w:w="45" w:type="dxa"/>
              <w:end w:w="50" w:type="dxa"/>
            </w:tcMar>
            <w:vAlign w:val="top"/>
          </w:tcPr>
          <w:p>
            <w:pPr>
              <w:spacing w:after="0"/>
            </w:pPr>
            <w:r>
              <w:rPr>
                <w:rFonts w:ascii="Aptos" w:hAnsi="Aptos"/>
                <w:sz w:val="14"/>
              </w:rPr>
              <w:t>No material T05 grounding/provenance/failure evidence gap remains. T05 is PASS; the corrected nitrogen example remains useful before/after evidence. No further acceptance action is required for this scoped evidence item. Preserve exact versions, selected raw/live examples and the latency limitation when…</w:t>
            </w:r>
          </w:p>
        </w:tc>
      </w:tr>
      <w:tr>
        <w:tc>
          <w:tcPr>
            <w:tcW w:type="dxa" w:w="567"/>
            <w:tcMar>
              <w:top w:w="45" w:type="dxa"/>
              <w:start w:w="50" w:type="dxa"/>
              <w:bottom w:w="45" w:type="dxa"/>
              <w:end w:w="50" w:type="dxa"/>
            </w:tcMar>
            <w:vAlign w:val="top"/>
          </w:tcPr>
          <w:p>
            <w:pPr>
              <w:spacing w:after="0"/>
            </w:pPr>
            <w:r>
              <w:rPr>
                <w:rFonts w:ascii="Aptos" w:hAnsi="Aptos"/>
                <w:sz w:val="14"/>
              </w:rPr>
              <w:t>E6-13</w:t>
            </w:r>
          </w:p>
        </w:tc>
        <w:tc>
          <w:tcPr>
            <w:tcW w:type="dxa" w:w="1559"/>
            <w:tcMar>
              <w:top w:w="45" w:type="dxa"/>
              <w:start w:w="50" w:type="dxa"/>
              <w:bottom w:w="45" w:type="dxa"/>
              <w:end w:w="50" w:type="dxa"/>
            </w:tcMar>
            <w:vAlign w:val="top"/>
          </w:tcPr>
          <w:p>
            <w:pPr>
              <w:spacing w:after="0"/>
            </w:pPr>
            <w:r>
              <w:rPr>
                <w:rFonts w:ascii="Aptos" w:hAnsi="Aptos"/>
                <w:sz w:val="14"/>
              </w:rPr>
              <w:t>End to end concept demonstrator</w:t>
            </w:r>
          </w:p>
        </w:tc>
        <w:tc>
          <w:tcPr>
            <w:tcW w:type="dxa" w:w="1445"/>
            <w:tcMar>
              <w:top w:w="45" w:type="dxa"/>
              <w:start w:w="50" w:type="dxa"/>
              <w:bottom w:w="45" w:type="dxa"/>
              <w:end w:w="50" w:type="dxa"/>
            </w:tcMar>
            <w:vAlign w:val="top"/>
          </w:tcPr>
          <w:p>
            <w:pPr>
              <w:spacing w:after="0"/>
            </w:pPr>
            <w:r>
              <w:rPr>
                <w:rFonts w:ascii="Aptos" w:hAnsi="Aptos"/>
                <w:sz w:val="14"/>
              </w:rPr>
              <w:t>GPO1, GPO2; supporting GPO3, GPO4</w:t>
            </w:r>
          </w:p>
        </w:tc>
        <w:tc>
          <w:tcPr>
            <w:tcW w:type="dxa" w:w="1219"/>
            <w:tcMar>
              <w:top w:w="45" w:type="dxa"/>
              <w:start w:w="50" w:type="dxa"/>
              <w:bottom w:w="45" w:type="dxa"/>
              <w:end w:w="50" w:type="dxa"/>
            </w:tcMar>
            <w:vAlign w:val="top"/>
            <w:shd w:fill="FFF2CC"/>
          </w:tcPr>
          <w:p>
            <w:pPr>
              <w:spacing w:after="0"/>
            </w:pPr>
            <w:r>
              <w:rPr>
                <w:rFonts w:ascii="Aptos" w:hAnsi="Aptos"/>
                <w:sz w:val="14"/>
              </w:rPr>
              <w:t>Partial | Direct</w:t>
            </w:r>
          </w:p>
        </w:tc>
        <w:tc>
          <w:tcPr>
            <w:tcW w:type="dxa" w:w="2636"/>
            <w:tcMar>
              <w:top w:w="45" w:type="dxa"/>
              <w:start w:w="50" w:type="dxa"/>
              <w:bottom w:w="45" w:type="dxa"/>
              <w:end w:w="50" w:type="dxa"/>
            </w:tcMar>
            <w:vAlign w:val="top"/>
          </w:tcPr>
          <w:p>
            <w:pPr>
              <w:spacing w:after="0"/>
            </w:pPr>
            <w:r>
              <w:rPr>
                <w:rFonts w:ascii="Aptos" w:hAnsi="Aptos"/>
                <w:sz w:val="14"/>
              </w:rPr>
              <w:t>FarmPi is one coherent concept demonstrator spanning two physical managed nodes, communications, API, MariaDB, deterministic analytics/graphs, Android and Pi-local AI. T02/T03/T05/T06/T07 are accepted and one physical soil-moisture measurement path is demonstrated end to end. The two…</w:t>
            </w:r>
          </w:p>
        </w:tc>
        <w:tc>
          <w:tcPr>
            <w:tcW w:type="dxa" w:w="2778"/>
            <w:tcMar>
              <w:top w:w="45" w:type="dxa"/>
              <w:start w:w="50" w:type="dxa"/>
              <w:bottom w:w="45" w:type="dxa"/>
              <w:end w:w="50" w:type="dxa"/>
            </w:tcMar>
            <w:vAlign w:val="top"/>
          </w:tcPr>
          <w:p>
            <w:pPr>
              <w:spacing w:after="0"/>
            </w:pPr>
            <w:r>
              <w:rPr>
                <w:rFonts w:ascii="Aptos" w:hAnsi="Aptos"/>
                <w:sz w:val="14"/>
              </w:rPr>
              <w:t>The bounded final limitations are T01 at 1/6 physical measurement types and E6-11 at PARTIAL. These are retained as honest final results rather than active feature-development tasks. Keep the demonstrator stable. Preserve the two physical nodes, one accepted real sensor path, stakeholder records, simulation…</w:t>
            </w:r>
          </w:p>
        </w:tc>
      </w:tr>
      <w:tr>
        <w:tc>
          <w:tcPr>
            <w:tcW w:type="dxa" w:w="567"/>
            <w:tcMar>
              <w:top w:w="45" w:type="dxa"/>
              <w:start w:w="50" w:type="dxa"/>
              <w:bottom w:w="45" w:type="dxa"/>
              <w:end w:w="50" w:type="dxa"/>
            </w:tcMar>
            <w:vAlign w:val="top"/>
          </w:tcPr>
          <w:p>
            <w:pPr>
              <w:spacing w:after="0"/>
            </w:pPr>
            <w:r>
              <w:rPr>
                <w:rFonts w:ascii="Aptos" w:hAnsi="Aptos"/>
                <w:sz w:val="14"/>
              </w:rPr>
              <w:t>E6-14</w:t>
            </w:r>
          </w:p>
        </w:tc>
        <w:tc>
          <w:tcPr>
            <w:tcW w:type="dxa" w:w="1559"/>
            <w:tcMar>
              <w:top w:w="45" w:type="dxa"/>
              <w:start w:w="50" w:type="dxa"/>
              <w:bottom w:w="45" w:type="dxa"/>
              <w:end w:w="50" w:type="dxa"/>
            </w:tcMar>
            <w:vAlign w:val="top"/>
          </w:tcPr>
          <w:p>
            <w:pPr>
              <w:spacing w:after="0"/>
            </w:pPr>
            <w:r>
              <w:rPr>
                <w:rFonts w:ascii="Aptos" w:hAnsi="Aptos"/>
                <w:sz w:val="14"/>
              </w:rPr>
              <w:t>VESCAS in action</w:t>
            </w:r>
          </w:p>
        </w:tc>
        <w:tc>
          <w:tcPr>
            <w:tcW w:type="dxa" w:w="1445"/>
            <w:tcMar>
              <w:top w:w="45" w:type="dxa"/>
              <w:start w:w="50" w:type="dxa"/>
              <w:bottom w:w="45" w:type="dxa"/>
              <w:end w:w="50" w:type="dxa"/>
            </w:tcMar>
            <w:vAlign w:val="top"/>
          </w:tcPr>
          <w:p>
            <w:pPr>
              <w:spacing w:after="0"/>
            </w:pPr>
            <w:r>
              <w:rPr>
                <w:rFonts w:ascii="Aptos" w:hAnsi="Aptos"/>
                <w:sz w:val="14"/>
              </w:rPr>
              <w:t>GPO3, GPO6</w:t>
            </w:r>
          </w:p>
        </w:tc>
        <w:tc>
          <w:tcPr>
            <w:tcW w:type="dxa" w:w="1219"/>
            <w:tcMar>
              <w:top w:w="45" w:type="dxa"/>
              <w:start w:w="50" w:type="dxa"/>
              <w:bottom w:w="45" w:type="dxa"/>
              <w:end w:w="50" w:type="dxa"/>
            </w:tcMar>
            <w:vAlign w:val="top"/>
            <w:shd w:fill="FFF2CC"/>
          </w:tcPr>
          <w:p>
            <w:pPr>
              <w:spacing w:after="0"/>
            </w:pPr>
            <w:r>
              <w:rPr>
                <w:rFonts w:ascii="Aptos" w:hAnsi="Aptos"/>
                <w:sz w:val="14"/>
              </w:rPr>
              <w:t>Partial | Supporting</w:t>
            </w:r>
          </w:p>
        </w:tc>
        <w:tc>
          <w:tcPr>
            <w:tcW w:type="dxa" w:w="2636"/>
            <w:tcMar>
              <w:top w:w="45" w:type="dxa"/>
              <w:start w:w="50" w:type="dxa"/>
              <w:bottom w:w="45" w:type="dxa"/>
              <w:end w:w="50" w:type="dxa"/>
            </w:tcMar>
            <w:vAlign w:val="top"/>
          </w:tcPr>
          <w:p>
            <w:pPr>
              <w:spacing w:after="0"/>
            </w:pPr>
            <w:r>
              <w:rPr>
                <w:rFonts w:ascii="Aptos" w:hAnsi="Aptos"/>
                <w:sz w:val="14"/>
              </w:rPr>
              <w:t>These records connect choices to data integrity, maintainability, user control, resource restraint and practical usability. The T01 budget decision provides a concrete sustainability/resource-use example, while the stakeholder sessions add direct evidence that different users may…</w:t>
            </w:r>
          </w:p>
        </w:tc>
        <w:tc>
          <w:tcPr>
            <w:tcW w:type="dxa" w:w="2778"/>
            <w:tcMar>
              <w:top w:w="45" w:type="dxa"/>
              <w:start w:w="50" w:type="dxa"/>
              <w:bottom w:w="45" w:type="dxa"/>
              <w:end w:w="50" w:type="dxa"/>
            </w:tcMar>
            <w:vAlign w:val="top"/>
          </w:tcPr>
          <w:p>
            <w:pPr>
              <w:spacing w:after="0"/>
            </w:pPr>
            <w:r>
              <w:rPr>
                <w:rFonts w:ascii="Aptos" w:hAnsi="Aptos"/>
                <w:sz w:val="14"/>
              </w:rPr>
              <w:t>Technical ethical/sustainability cases and general user-access evidence are strong. Cultural/Te Tiriti and professional-code application remain bounded and must be handled through the wider portfolio without inventing consultation that did not occur. Carry the strongest concrete consequences into the final…</w:t>
            </w:r>
          </w:p>
        </w:tc>
      </w:tr>
      <w:tr>
        <w:tc>
          <w:tcPr>
            <w:tcW w:type="dxa" w:w="567"/>
            <w:tcMar>
              <w:top w:w="45" w:type="dxa"/>
              <w:start w:w="50" w:type="dxa"/>
              <w:bottom w:w="45" w:type="dxa"/>
              <w:end w:w="50" w:type="dxa"/>
            </w:tcMar>
            <w:vAlign w:val="top"/>
          </w:tcPr>
          <w:p>
            <w:pPr>
              <w:spacing w:after="0"/>
            </w:pPr>
            <w:r>
              <w:rPr>
                <w:rFonts w:ascii="Aptos" w:hAnsi="Aptos"/>
                <w:sz w:val="14"/>
              </w:rPr>
              <w:t>E6-15</w:t>
            </w:r>
          </w:p>
        </w:tc>
        <w:tc>
          <w:tcPr>
            <w:tcW w:type="dxa" w:w="1559"/>
            <w:tcMar>
              <w:top w:w="45" w:type="dxa"/>
              <w:start w:w="50" w:type="dxa"/>
              <w:bottom w:w="45" w:type="dxa"/>
              <w:end w:w="50" w:type="dxa"/>
            </w:tcMar>
            <w:vAlign w:val="top"/>
          </w:tcPr>
          <w:p>
            <w:pPr>
              <w:spacing w:after="0"/>
            </w:pPr>
            <w:r>
              <w:rPr>
                <w:rFonts w:ascii="Aptos" w:hAnsi="Aptos"/>
                <w:sz w:val="14"/>
              </w:rPr>
              <w:t>New learning and changed practice</w:t>
            </w:r>
          </w:p>
        </w:tc>
        <w:tc>
          <w:tcPr>
            <w:tcW w:type="dxa" w:w="1445"/>
            <w:tcMar>
              <w:top w:w="45" w:type="dxa"/>
              <w:start w:w="50" w:type="dxa"/>
              <w:bottom w:w="45" w:type="dxa"/>
              <w:end w:w="50" w:type="dxa"/>
            </w:tcMar>
            <w:vAlign w:val="top"/>
          </w:tcPr>
          <w:p>
            <w:pPr>
              <w:spacing w:after="0"/>
            </w:pPr>
            <w:r>
              <w:rPr>
                <w:rFonts w:ascii="Aptos" w:hAnsi="Aptos"/>
                <w:sz w:val="14"/>
              </w:rPr>
              <w:t>GPO1, GPO2, GPO3, GPO4</w:t>
            </w:r>
          </w:p>
        </w:tc>
        <w:tc>
          <w:tcPr>
            <w:tcW w:type="dxa" w:w="1219"/>
            <w:tcMar>
              <w:top w:w="45" w:type="dxa"/>
              <w:start w:w="50" w:type="dxa"/>
              <w:bottom w:w="45" w:type="dxa"/>
              <w:end w:w="50" w:type="dxa"/>
            </w:tcMar>
            <w:vAlign w:val="top"/>
            <w:shd w:fill="FFF2CC"/>
          </w:tcPr>
          <w:p>
            <w:pPr>
              <w:spacing w:after="0"/>
            </w:pPr>
            <w:r>
              <w:rPr>
                <w:rFonts w:ascii="Aptos" w:hAnsi="Aptos"/>
                <w:sz w:val="14"/>
              </w:rPr>
              <w:t>Partial | Supporting</w:t>
            </w:r>
          </w:p>
        </w:tc>
        <w:tc>
          <w:tcPr>
            <w:tcW w:type="dxa" w:w="2636"/>
            <w:tcMar>
              <w:top w:w="45" w:type="dxa"/>
              <w:start w:w="50" w:type="dxa"/>
              <w:bottom w:w="45" w:type="dxa"/>
              <w:end w:w="50" w:type="dxa"/>
            </w:tcMar>
            <w:vAlign w:val="top"/>
          </w:tcPr>
          <w:p>
            <w:pPr>
              <w:spacing w:after="0"/>
            </w:pPr>
            <w:r>
              <w:rPr>
                <w:rFonts w:ascii="Aptos" w:hAnsi="Aptos"/>
                <w:sz w:val="14"/>
              </w:rPr>
              <w:t>The project contains strong changed-practice evidence in application development, local LLM deployment, deterministic/LLM authority, model-role reduction, AI-supervised development, Android voice allocation, deployment repeatability, evidence control and user testing. The stakeholder…</w:t>
            </w:r>
          </w:p>
        </w:tc>
        <w:tc>
          <w:tcPr>
            <w:tcW w:type="dxa" w:w="2778"/>
            <w:tcMar>
              <w:top w:w="45" w:type="dxa"/>
              <w:start w:w="50" w:type="dxa"/>
              <w:bottom w:w="45" w:type="dxa"/>
              <w:end w:w="50" w:type="dxa"/>
            </w:tcMar>
            <w:vAlign w:val="top"/>
          </w:tcPr>
          <w:p>
            <w:pPr>
              <w:spacing w:after="0"/>
            </w:pPr>
            <w:r>
              <w:rPr>
                <w:rFonts w:ascii="Aptos" w:hAnsi="Aptos"/>
                <w:sz w:val="14"/>
              </w:rPr>
              <w:t>The evidence itself is strong. This item remains PARTIAL only because the final LT6 narrative and later portfolio-wide reconciliation still need to integrate the complete changed-practice chain. Update LT6 using a small number of explicit changed-practice chains, then reassess this item for COMPLETE. Keep…</w:t>
            </w:r>
          </w:p>
        </w:tc>
      </w:tr>
      <w:tr>
        <w:tc>
          <w:tcPr>
            <w:tcW w:type="dxa" w:w="567"/>
            <w:tcMar>
              <w:top w:w="45" w:type="dxa"/>
              <w:start w:w="50" w:type="dxa"/>
              <w:bottom w:w="45" w:type="dxa"/>
              <w:end w:w="50" w:type="dxa"/>
            </w:tcMar>
            <w:vAlign w:val="top"/>
          </w:tcPr>
          <w:p>
            <w:pPr>
              <w:spacing w:after="0"/>
            </w:pPr>
            <w:r>
              <w:rPr>
                <w:rFonts w:ascii="Aptos" w:hAnsi="Aptos"/>
                <w:sz w:val="14"/>
              </w:rPr>
              <w:t>E6-16</w:t>
            </w:r>
          </w:p>
        </w:tc>
        <w:tc>
          <w:tcPr>
            <w:tcW w:type="dxa" w:w="1559"/>
            <w:tcMar>
              <w:top w:w="45" w:type="dxa"/>
              <w:start w:w="50" w:type="dxa"/>
              <w:bottom w:w="45" w:type="dxa"/>
              <w:end w:w="50" w:type="dxa"/>
            </w:tcMar>
            <w:vAlign w:val="top"/>
          </w:tcPr>
          <w:p>
            <w:pPr>
              <w:spacing w:after="0"/>
            </w:pPr>
            <w:r>
              <w:rPr>
                <w:rFonts w:ascii="Aptos" w:hAnsi="Aptos"/>
                <w:sz w:val="14"/>
              </w:rPr>
              <w:t>SFIA capability mapping</w:t>
            </w:r>
          </w:p>
        </w:tc>
        <w:tc>
          <w:tcPr>
            <w:tcW w:type="dxa" w:w="1445"/>
            <w:tcMar>
              <w:top w:w="45" w:type="dxa"/>
              <w:start w:w="50" w:type="dxa"/>
              <w:bottom w:w="45" w:type="dxa"/>
              <w:end w:w="50" w:type="dxa"/>
            </w:tcMar>
            <w:vAlign w:val="top"/>
          </w:tcPr>
          <w:p>
            <w:pPr>
              <w:spacing w:after="0"/>
            </w:pPr>
            <w:r>
              <w:rPr>
                <w:rFonts w:ascii="Aptos" w:hAnsi="Aptos"/>
                <w:sz w:val="14"/>
              </w:rPr>
              <w:t>GPO1, GPO4, GPO5 — later cross-reference only</w:t>
            </w:r>
          </w:p>
        </w:tc>
        <w:tc>
          <w:tcPr>
            <w:tcW w:type="dxa" w:w="1219"/>
            <w:tcMar>
              <w:top w:w="45" w:type="dxa"/>
              <w:start w:w="50" w:type="dxa"/>
              <w:bottom w:w="45" w:type="dxa"/>
              <w:end w:w="50" w:type="dxa"/>
            </w:tcMar>
            <w:vAlign w:val="top"/>
            <w:shd w:fill="FCE4D6"/>
          </w:tcPr>
          <w:p>
            <w:pPr>
              <w:spacing w:after="0"/>
            </w:pPr>
            <w:r>
              <w:rPr>
                <w:rFonts w:ascii="Aptos" w:hAnsi="Aptos"/>
                <w:sz w:val="14"/>
              </w:rPr>
              <w:t>Planned | Supporting — later LT4 cross-reference</w:t>
            </w:r>
          </w:p>
        </w:tc>
        <w:tc>
          <w:tcPr>
            <w:tcW w:type="dxa" w:w="2636"/>
            <w:tcMar>
              <w:top w:w="45" w:type="dxa"/>
              <w:start w:w="50" w:type="dxa"/>
              <w:bottom w:w="45" w:type="dxa"/>
              <w:end w:w="50" w:type="dxa"/>
            </w:tcMar>
            <w:vAlign w:val="top"/>
          </w:tcPr>
          <w:p>
            <w:pPr>
              <w:spacing w:after="0"/>
            </w:pPr>
            <w:r>
              <w:rPr>
                <w:rFonts w:ascii="Aptos" w:hAnsi="Aptos"/>
                <w:sz w:val="14"/>
              </w:rPr>
              <w:t>LT4 provides an existing capability baseline and a place to relate later learning to professional practice.</w:t>
            </w:r>
          </w:p>
        </w:tc>
        <w:tc>
          <w:tcPr>
            <w:tcW w:type="dxa" w:w="2778"/>
            <w:tcMar>
              <w:top w:w="45" w:type="dxa"/>
              <w:start w:w="50" w:type="dxa"/>
              <w:bottom w:w="45" w:type="dxa"/>
              <w:end w:w="50" w:type="dxa"/>
            </w:tcMar>
            <w:vAlign w:val="top"/>
          </w:tcPr>
          <w:p>
            <w:pPr>
              <w:spacing w:after="0"/>
            </w:pPr>
            <w:r>
              <w:rPr>
                <w:rFonts w:ascii="Aptos" w:hAnsi="Aptos"/>
                <w:sz w:val="14"/>
              </w:rPr>
              <w:t>The later LT4 update depends on the now-stable Task 6 evidence and remains deliberately deferred until LT6 is reconciled. After the Task 6 narrative is stable, update LT4 using the relevant official SFIA version and descriptors, linking the evidence and keeping responsibility claims within what it supports.</w:t>
            </w:r>
          </w:p>
        </w:tc>
      </w:tr>
      <w:tr>
        <w:tc>
          <w:tcPr>
            <w:tcW w:type="dxa" w:w="567"/>
            <w:tcMar>
              <w:top w:w="45" w:type="dxa"/>
              <w:start w:w="50" w:type="dxa"/>
              <w:bottom w:w="45" w:type="dxa"/>
              <w:end w:w="50" w:type="dxa"/>
            </w:tcMar>
            <w:vAlign w:val="top"/>
          </w:tcPr>
          <w:p>
            <w:pPr>
              <w:spacing w:after="0"/>
            </w:pPr>
            <w:r>
              <w:rPr>
                <w:rFonts w:ascii="Aptos" w:hAnsi="Aptos"/>
                <w:sz w:val="14"/>
              </w:rPr>
              <w:t>E6-17</w:t>
            </w:r>
          </w:p>
        </w:tc>
        <w:tc>
          <w:tcPr>
            <w:tcW w:type="dxa" w:w="1559"/>
            <w:tcMar>
              <w:top w:w="45" w:type="dxa"/>
              <w:start w:w="50" w:type="dxa"/>
              <w:bottom w:w="45" w:type="dxa"/>
              <w:end w:w="50" w:type="dxa"/>
            </w:tcMar>
            <w:vAlign w:val="top"/>
          </w:tcPr>
          <w:p>
            <w:pPr>
              <w:spacing w:after="0"/>
            </w:pPr>
            <w:r>
              <w:rPr>
                <w:rFonts w:ascii="Aptos" w:hAnsi="Aptos"/>
                <w:sz w:val="14"/>
              </w:rPr>
              <w:t>Optional external confirmation</w:t>
            </w:r>
          </w:p>
        </w:tc>
        <w:tc>
          <w:tcPr>
            <w:tcW w:type="dxa" w:w="1445"/>
            <w:tcMar>
              <w:top w:w="45" w:type="dxa"/>
              <w:start w:w="50" w:type="dxa"/>
              <w:bottom w:w="45" w:type="dxa"/>
              <w:end w:w="50" w:type="dxa"/>
            </w:tcMar>
            <w:vAlign w:val="top"/>
          </w:tcPr>
          <w:p>
            <w:pPr>
              <w:spacing w:after="0"/>
            </w:pPr>
            <w:r>
              <w:rPr>
                <w:rFonts w:ascii="Aptos" w:hAnsi="Aptos"/>
                <w:sz w:val="14"/>
              </w:rPr>
              <w:t>No GPO completion claim relies on this item.</w:t>
            </w:r>
          </w:p>
        </w:tc>
        <w:tc>
          <w:tcPr>
            <w:tcW w:type="dxa" w:w="1219"/>
            <w:tcMar>
              <w:top w:w="45" w:type="dxa"/>
              <w:start w:w="50" w:type="dxa"/>
              <w:bottom w:w="45" w:type="dxa"/>
              <w:end w:w="50" w:type="dxa"/>
            </w:tcMar>
            <w:vAlign w:val="top"/>
            <w:shd w:fill="E7E6E6"/>
          </w:tcPr>
          <w:p>
            <w:pPr>
              <w:spacing w:after="0"/>
            </w:pPr>
            <w:r>
              <w:rPr>
                <w:rFonts w:ascii="Aptos" w:hAnsi="Aptos"/>
                <w:sz w:val="14"/>
              </w:rPr>
              <w:t>Not required | Corroborating — optional</w:t>
            </w:r>
          </w:p>
        </w:tc>
        <w:tc>
          <w:tcPr>
            <w:tcW w:type="dxa" w:w="2636"/>
            <w:tcMar>
              <w:top w:w="45" w:type="dxa"/>
              <w:start w:w="50" w:type="dxa"/>
              <w:bottom w:w="45" w:type="dxa"/>
              <w:end w:w="50" w:type="dxa"/>
            </w:tcMar>
            <w:vAlign w:val="top"/>
          </w:tcPr>
          <w:p>
            <w:pPr>
              <w:spacing w:after="0"/>
            </w:pPr>
            <w:r>
              <w:rPr>
                <w:rFonts w:ascii="Aptos" w:hAnsi="Aptos"/>
                <w:sz w:val="14"/>
              </w:rPr>
              <w:t>The stable register preserves the historical E6-17 identifier without making optional external confirmation a completion condition.</w:t>
            </w:r>
          </w:p>
        </w:tc>
        <w:tc>
          <w:tcPr>
            <w:tcW w:type="dxa" w:w="2778"/>
            <w:tcMar>
              <w:top w:w="45" w:type="dxa"/>
              <w:start w:w="50" w:type="dxa"/>
              <w:bottom w:w="45" w:type="dxa"/>
              <w:end w:w="50" w:type="dxa"/>
            </w:tcMar>
            <w:vAlign w:val="top"/>
          </w:tcPr>
          <w:p>
            <w:pPr>
              <w:spacing w:after="0"/>
            </w:pPr>
            <w:r>
              <w:rPr>
                <w:rFonts w:ascii="Aptos" w:hAnsi="Aptos"/>
                <w:sz w:val="14"/>
              </w:rPr>
              <w:t>There is no current evidence gap because external confirmation is not required or relied upon for the capstone evidence set. No action required. Do not reintroduce this item as an artificial open gap.</w:t>
            </w:r>
          </w:p>
        </w:tc>
      </w:tr>
      <w:tr>
        <w:tc>
          <w:tcPr>
            <w:tcW w:type="dxa" w:w="567"/>
            <w:tcMar>
              <w:top w:w="45" w:type="dxa"/>
              <w:start w:w="50" w:type="dxa"/>
              <w:bottom w:w="45" w:type="dxa"/>
              <w:end w:w="50" w:type="dxa"/>
            </w:tcMar>
            <w:vAlign w:val="top"/>
          </w:tcPr>
          <w:p>
            <w:pPr>
              <w:spacing w:after="0"/>
            </w:pPr>
            <w:r>
              <w:rPr>
                <w:rFonts w:ascii="Aptos" w:hAnsi="Aptos"/>
                <w:sz w:val="14"/>
              </w:rPr>
              <w:t>E6-18</w:t>
            </w:r>
          </w:p>
        </w:tc>
        <w:tc>
          <w:tcPr>
            <w:tcW w:type="dxa" w:w="1559"/>
            <w:tcMar>
              <w:top w:w="45" w:type="dxa"/>
              <w:start w:w="50" w:type="dxa"/>
              <w:bottom w:w="45" w:type="dxa"/>
              <w:end w:w="50" w:type="dxa"/>
            </w:tcMar>
            <w:vAlign w:val="top"/>
          </w:tcPr>
          <w:p>
            <w:pPr>
              <w:spacing w:after="0"/>
            </w:pPr>
            <w:r>
              <w:rPr>
                <w:rFonts w:ascii="Aptos" w:hAnsi="Aptos"/>
                <w:sz w:val="14"/>
              </w:rPr>
              <w:t>Deployment repeatability and maintenance</w:t>
            </w:r>
          </w:p>
        </w:tc>
        <w:tc>
          <w:tcPr>
            <w:tcW w:type="dxa" w:w="1445"/>
            <w:tcMar>
              <w:top w:w="45" w:type="dxa"/>
              <w:start w:w="50" w:type="dxa"/>
              <w:bottom w:w="45" w:type="dxa"/>
              <w:end w:w="50" w:type="dxa"/>
            </w:tcMar>
            <w:vAlign w:val="top"/>
          </w:tcPr>
          <w:p>
            <w:pPr>
              <w:spacing w:after="0"/>
            </w:pPr>
            <w:r>
              <w:rPr>
                <w:rFonts w:ascii="Aptos" w:hAnsi="Aptos"/>
                <w:sz w:val="14"/>
              </w:rPr>
              <w:t>GPO2, GPO3, GPO4; supporting GPO1, GPO6</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A new Raspberry Pi SD card was installed and FarmPi was successfully reinstalled using the documented approach. This provides direct prototype repeatability evidence rather than relying on documentation existence alone.</w:t>
            </w:r>
          </w:p>
        </w:tc>
        <w:tc>
          <w:tcPr>
            <w:tcW w:type="dxa" w:w="2778"/>
            <w:tcMar>
              <w:top w:w="45" w:type="dxa"/>
              <w:start w:w="50" w:type="dxa"/>
              <w:bottom w:w="45" w:type="dxa"/>
              <w:end w:w="50" w:type="dxa"/>
            </w:tcMar>
            <w:vAlign w:val="top"/>
          </w:tcPr>
          <w:p>
            <w:pPr>
              <w:spacing w:after="0"/>
            </w:pPr>
            <w:r>
              <w:rPr>
                <w:rFonts w:ascii="Aptos" w:hAnsi="Aptos"/>
                <w:sz w:val="14"/>
              </w:rPr>
              <w:t>No material T07 closure gap remains for the concept demonstrator. No further evidence action is required. Preserve the reinstall evidence and deployment documentation; reopen only for a future requirement or material failure.</w:t>
            </w:r>
          </w:p>
        </w:tc>
      </w:tr>
      <w:tr>
        <w:tc>
          <w:tcPr>
            <w:tcW w:type="dxa" w:w="567"/>
            <w:tcMar>
              <w:top w:w="45" w:type="dxa"/>
              <w:start w:w="50" w:type="dxa"/>
              <w:bottom w:w="45" w:type="dxa"/>
              <w:end w:w="50" w:type="dxa"/>
            </w:tcMar>
            <w:vAlign w:val="top"/>
          </w:tcPr>
          <w:p>
            <w:pPr>
              <w:spacing w:after="0"/>
            </w:pPr>
            <w:r>
              <w:rPr>
                <w:rFonts w:ascii="Aptos" w:hAnsi="Aptos"/>
                <w:sz w:val="14"/>
              </w:rPr>
              <w:t>E6-19</w:t>
            </w:r>
          </w:p>
        </w:tc>
        <w:tc>
          <w:tcPr>
            <w:tcW w:type="dxa" w:w="1559"/>
            <w:tcMar>
              <w:top w:w="45" w:type="dxa"/>
              <w:start w:w="50" w:type="dxa"/>
              <w:bottom w:w="45" w:type="dxa"/>
              <w:end w:w="50" w:type="dxa"/>
            </w:tcMar>
            <w:vAlign w:val="top"/>
          </w:tcPr>
          <w:p>
            <w:pPr>
              <w:spacing w:after="0"/>
            </w:pPr>
            <w:r>
              <w:rPr>
                <w:rFonts w:ascii="Aptos" w:hAnsi="Aptos"/>
                <w:sz w:val="14"/>
              </w:rPr>
              <w:t>Communication, freshness, history and storage acceptance</w:t>
            </w:r>
          </w:p>
        </w:tc>
        <w:tc>
          <w:tcPr>
            <w:tcW w:type="dxa" w:w="1445"/>
            <w:tcMar>
              <w:top w:w="45" w:type="dxa"/>
              <w:start w:w="50" w:type="dxa"/>
              <w:bottom w:w="45" w:type="dxa"/>
              <w:end w:w="50" w:type="dxa"/>
            </w:tcMar>
            <w:vAlign w:val="top"/>
          </w:tcPr>
          <w:p>
            <w:pPr>
              <w:spacing w:after="0"/>
            </w:pPr>
            <w:r>
              <w:rPr>
                <w:rFonts w:ascii="Aptos" w:hAnsi="Aptos"/>
                <w:sz w:val="14"/>
              </w:rPr>
              <w:t>GPO2, GPO3; supporting GPO1</w:t>
            </w:r>
          </w:p>
        </w:tc>
        <w:tc>
          <w:tcPr>
            <w:tcW w:type="dxa" w:w="1219"/>
            <w:tcMar>
              <w:top w:w="45" w:type="dxa"/>
              <w:start w:w="50" w:type="dxa"/>
              <w:bottom w:w="45" w:type="dxa"/>
              <w:end w:w="50" w:type="dxa"/>
            </w:tcMar>
            <w:vAlign w:val="top"/>
            <w:shd w:fill="E2F0D9"/>
          </w:tcPr>
          <w:p>
            <w:pPr>
              <w:spacing w:after="0"/>
            </w:pPr>
            <w:r>
              <w:rPr>
                <w:rFonts w:ascii="Aptos" w:hAnsi="Aptos"/>
                <w:sz w:val="14"/>
              </w:rPr>
              <w:t>Complete | Direct</w:t>
            </w:r>
          </w:p>
        </w:tc>
        <w:tc>
          <w:tcPr>
            <w:tcW w:type="dxa" w:w="2636"/>
            <w:tcMar>
              <w:top w:w="45" w:type="dxa"/>
              <w:start w:w="50" w:type="dxa"/>
              <w:bottom w:w="45" w:type="dxa"/>
              <w:end w:w="50" w:type="dxa"/>
            </w:tcMar>
            <w:vAlign w:val="top"/>
          </w:tcPr>
          <w:p>
            <w:pPr>
              <w:spacing w:after="0"/>
            </w:pPr>
            <w:r>
              <w:rPr>
                <w:rFonts w:ascii="Aptos" w:hAnsi="Aptos"/>
                <w:sz w:val="14"/>
              </w:rPr>
              <w:t>The project-owner/operator confirms the previously completed T02 and T03 acceptance as PASS. Current implementation/evidence also supports timestamp freshness, sequence/deduplication, reconnection, persistent MariaDB history, observation-time preservation and deterministic…</w:t>
            </w:r>
          </w:p>
        </w:tc>
        <w:tc>
          <w:tcPr>
            <w:tcW w:type="dxa" w:w="2778"/>
            <w:tcMar>
              <w:top w:w="45" w:type="dxa"/>
              <w:start w:w="50" w:type="dxa"/>
              <w:bottom w:w="45" w:type="dxa"/>
              <w:end w:w="50" w:type="dxa"/>
            </w:tcMar>
            <w:vAlign w:val="top"/>
          </w:tcPr>
          <w:p>
            <w:pPr>
              <w:spacing w:after="0"/>
            </w:pPr>
            <w:r>
              <w:rPr>
                <w:rFonts w:ascii="Aptos" w:hAnsi="Aptos"/>
                <w:sz w:val="14"/>
              </w:rPr>
              <w:t>No material T02/T03 closure gap remains in the current capstone state. No further evidence action is required. Preserve the accepted state and supporting implementation evidence; reopen only if later integration invalidates it.</w:t>
            </w:r>
          </w:p>
        </w:tc>
      </w:tr>
    </w:tbl>
    <w:p>
      <w:pPr>
        <w:pStyle w:val="SmallNote"/>
      </w:pPr>
      <w:r>
        <w:t>Current completion pattern: most scoped technical and human evidence items are complete; E6-11 and E6-13 remain honest partials, E6-14 remains bounded, E6-15 awaits final narrative integration, E6-16 belongs to the later LT4 refresh, and E6-17 is optional/not required.</w:t>
      </w:r>
    </w:p>
    <w:p>
      <w:r>
        <w:br w:type="page"/>
      </w:r>
    </w:p>
    <w:p>
      <w:pPr>
        <w:pStyle w:val="Heading1"/>
        <w:keepNext/>
      </w:pPr>
      <w:r>
        <w:t>4. Detailed evidence mapping</w:t>
      </w:r>
    </w:p>
    <w:p>
      <w:r>
        <w:t>The summary above is deliberately compact. Each entry below keeps the current state, GPO relationship, evidence locator, what the item proves, and the boundary that prevents it being overclaimed.</w:t>
      </w:r>
    </w:p>
    <w:p>
      <w:pPr>
        <w:pStyle w:val="Heading2"/>
        <w:keepNext/>
      </w:pPr>
      <w:r>
        <w:t>E6-01 Capstone planning baseline</w:t>
      </w:r>
    </w:p>
    <w:p>
      <w:pPr>
        <w:keepLines/>
      </w:pPr>
      <w:r>
        <w:rPr>
          <w:b/>
        </w:rPr>
        <w:t xml:space="preserve">Current state: </w:t>
      </w:r>
      <w:r>
        <w:t>Complete | Supporting</w:t>
      </w:r>
      <w:r>
        <w:t xml:space="preserve">    </w:t>
      </w:r>
      <w:r>
        <w:rPr>
          <w:b/>
        </w:rPr>
        <w:t xml:space="preserve">GPO links: </w:t>
      </w:r>
      <w:r>
        <w:t>GPO2, GPO3; supporting GPO4, GPO6</w:t>
      </w:r>
    </w:p>
    <w:p>
      <w:pPr>
        <w:keepLines/>
      </w:pPr>
      <w:r>
        <w:rPr>
          <w:b/>
        </w:rPr>
        <w:t xml:space="preserve">What this is / current evidence: </w:t>
      </w:r>
      <w:r>
        <w:t>The planning baseline separates user need, requirements, implementation and evidence. Scope changes are controlled explicitly rather than hidden as failed or ignored requirements, and the completed stakeholder sessions did not expose a requirement contradiction that needs the baseline reopened.</w:t>
      </w:r>
    </w:p>
    <w:p>
      <w:pPr>
        <w:keepLines/>
      </w:pPr>
      <w:r>
        <w:rPr>
          <w:b/>
        </w:rPr>
        <w:t xml:space="preserve">Why I map it this way: </w:t>
      </w:r>
      <w:r>
        <w:t>GPO2 is supported by the controlled needs, requirements and evidence process; GPO3 by explicit scope decisions; GPO4/GPO6 are supporting where planning reflects new application practice, local control and resource restraint.</w:t>
      </w:r>
    </w:p>
    <w:p>
      <w:pPr>
        <w:keepLines/>
      </w:pPr>
      <w:r>
        <w:rPr>
          <w:b/>
        </w:rPr>
        <w:t xml:space="preserve">Evidence/source locator: </w:t>
      </w:r>
      <w:r>
        <w:t>S4, S5, S6, S9, S12. B: LT6 Capstone Brief v1.1. N: LT6 FarmPi Needs and Requirements v1.4. C: LT6 FarmPi Prototyping Canvas v1.4. D: Development Record v0.6. This v0.7 control records the reconciled current scope.</w:t>
      </w:r>
    </w:p>
    <w:p>
      <w:pPr>
        <w:keepLines/>
      </w:pPr>
      <w:r>
        <w:rPr>
          <w:b/>
        </w:rPr>
        <w:t xml:space="preserve">Boundary / what it does not prove: </w:t>
      </w:r>
      <w:r>
        <w:t>It does not make T01 complete, prove broad farmer agreement, or turn two qualitative sessions into market validation.</w:t>
      </w:r>
    </w:p>
    <w:p>
      <w:pPr>
        <w:keepLines/>
      </w:pPr>
      <w:r>
        <w:rPr>
          <w:b/>
        </w:rPr>
        <w:t xml:space="preserve">Current gap / next action: </w:t>
      </w:r>
      <w:r>
        <w:t>No material planning-scope contradiction remains. Requirements v1.4 and Capstone Brief v1.1 can remain frozen for the current capstone. No further planning evidence action is required. Reopen the baseline only if a genuine contradiction is found during final reconciliation.</w:t>
      </w:r>
    </w:p>
    <w:p>
      <w:pPr>
        <w:pStyle w:val="Heading2"/>
        <w:keepNext/>
      </w:pPr>
      <w:r>
        <w:t>E6-02 Purposeful prototype and critical assumption</w:t>
      </w:r>
    </w:p>
    <w:p>
      <w:pPr>
        <w:keepLines/>
      </w:pPr>
      <w:r>
        <w:rPr>
          <w:b/>
        </w:rPr>
        <w:t xml:space="preserve">Current state: </w:t>
      </w:r>
      <w:r>
        <w:t>Complete | Supporting + Direct</w:t>
      </w:r>
      <w:r>
        <w:t xml:space="preserve">    </w:t>
      </w:r>
      <w:r>
        <w:rPr>
          <w:b/>
        </w:rPr>
        <w:t xml:space="preserve">GPO links: </w:t>
      </w:r>
      <w:r>
        <w:t>GPO2, GPO3; supporting GPO4</w:t>
      </w:r>
    </w:p>
    <w:p>
      <w:pPr>
        <w:keepLines/>
      </w:pPr>
      <w:r>
        <w:rPr>
          <w:b/>
        </w:rPr>
        <w:t xml:space="preserve">What this is / current evidence: </w:t>
      </w:r>
      <w:r>
        <w:t>The central purposeful-prototype question has now been tested with two people who had no prior FarmPi exposure. Both could move from the short presentation into useful live application use, but they naturally chose different interaction styles. The result supports retaining both fixed and conversational access rather than assuming one should replace the other.</w:t>
      </w:r>
    </w:p>
    <w:p>
      <w:pPr>
        <w:keepLines/>
      </w:pPr>
      <w:r>
        <w:rPr>
          <w:b/>
        </w:rPr>
        <w:t xml:space="preserve">Why I map it this way: </w:t>
      </w:r>
      <w:r>
        <w:t>GPO2/GPO3 are supported because the purposeful prototype was tested with real users and the observed result changed the interpretation of the design question; GPO4 is supporting through learning from the test rather than merely executing it.</w:t>
      </w:r>
    </w:p>
    <w:p>
      <w:pPr>
        <w:keepLines/>
      </w:pPr>
      <w:r>
        <w:rPr>
          <w:b/>
        </w:rPr>
        <w:t xml:space="preserve">Evidence/source locator: </w:t>
      </w:r>
      <w:r>
        <w:t>S6, S10, S11, S13, S9. C: Critical question, testing plan and retained pre-test assumptions. U: P001/P002 completed records and Consolidated Stakeholder Usability Evidence Summary v0.1.</w:t>
      </w:r>
    </w:p>
    <w:p>
      <w:pPr>
        <w:keepLines/>
      </w:pPr>
      <w:r>
        <w:rPr>
          <w:b/>
        </w:rPr>
        <w:t xml:space="preserve">Boundary / what it does not prove: </w:t>
      </w:r>
      <w:r>
        <w:t>Two qualitative sessions do not establish population-level preference, controlled performance superiority, statistically representative farmer usability or commercial product validation.</w:t>
      </w:r>
    </w:p>
    <w:p>
      <w:pPr>
        <w:keepLines/>
      </w:pPr>
      <w:r>
        <w:rPr>
          <w:b/>
        </w:rPr>
        <w:t xml:space="preserve">Current gap / next action: </w:t>
      </w:r>
      <w:r>
        <w:t>No further evidence gap remains for the scoped purposeful-prototype question. E6-11 separately retains the incomplete controlled-comparison element as PARTIAL. Carry the revised prototype conclusion into the final LT6 narrative. Do not broaden the claim beyond the two observed participants.</w:t>
      </w:r>
    </w:p>
    <w:p>
      <w:pPr>
        <w:pStyle w:val="Heading2"/>
        <w:keepNext/>
      </w:pPr>
      <w:r>
        <w:t>E6-03 Implemented FarmPi architecture</w:t>
      </w:r>
    </w:p>
    <w:p>
      <w:pPr>
        <w:keepLines/>
      </w:pPr>
      <w:r>
        <w:rPr>
          <w:b/>
        </w:rPr>
        <w:t xml:space="preserve">Current state: </w:t>
      </w:r>
      <w:r>
        <w:t>Complete | Direct</w:t>
      </w:r>
      <w:r>
        <w:t xml:space="preserve">    </w:t>
      </w:r>
      <w:r>
        <w:rPr>
          <w:b/>
        </w:rPr>
        <w:t xml:space="preserve">GPO links: </w:t>
      </w:r>
      <w:r>
        <w:t>GPO1, GPO2; supporting GPO3, GPO4, GPO6</w:t>
      </w:r>
    </w:p>
    <w:p>
      <w:pPr>
        <w:keepLines/>
      </w:pPr>
      <w:r>
        <w:rPr>
          <w:b/>
        </w:rPr>
        <w:t xml:space="preserve">What this is / current evidence: </w:t>
      </w:r>
      <w:r>
        <w:t>The current repository and live evidence show one integrated application boundary across Raspberry Pi services, MariaDB, Android, two physical managed ESP32-S3 nodes and Pi-local Qwen3 0.6B. T02/T03/T05/T06/T07 are accepted at their stated boundary, and PRs #53/#54 reconcile the calibration evidence and current repository wording.</w:t>
      </w:r>
    </w:p>
    <w:p>
      <w:pPr>
        <w:keepLines/>
      </w:pPr>
      <w:r>
        <w:rPr>
          <w:b/>
        </w:rPr>
        <w:t xml:space="preserve">Why I map it this way: </w:t>
      </w:r>
      <w:r>
        <w:t>GPO1 is supported by breadth across systems, backend, data, Android, embedded nodes and AI. GPO2/GPO3/GPO4/GPO6 are supported by current tools, controlled integration, judgement, new application practice and bounded responsible design.</w:t>
      </w:r>
    </w:p>
    <w:p>
      <w:pPr>
        <w:keepLines/>
      </w:pPr>
      <w:r>
        <w:rPr>
          <w:b/>
        </w:rPr>
        <w:t xml:space="preserve">Evidence/source locator: </w:t>
      </w:r>
      <w:r>
        <w:t>S7, S9, S12. R: README.md; docs/architecture.md; docs/data-and-api.md; docs/testing-and-evaluation.md; docs/evidence/s3/soil-moisture-live-acceptance-2026-10-02.md; docs/evidence/s3/soil-moisture-coco-calibration-2026-10-03.md; docs/evidence/capstone-acceptance-consolidation-2026-10-03.md. D: Development Record v0.6. Current main 2e89ce3; PR #49 acceptance-consolidation reference 1deb4acd.</w:t>
      </w:r>
    </w:p>
    <w:p>
      <w:pPr>
        <w:keepLines/>
      </w:pPr>
      <w:r>
        <w:rPr>
          <w:b/>
        </w:rPr>
        <w:t xml:space="preserve">Boundary / what it does not prove: </w:t>
      </w:r>
      <w:r>
        <w:t>Architecture completion does not mean every acceptance requirement passed. Five T01 physical measurement types remain incomplete, E6-11 remains a partial comparative-usability result, and the architecture evidence does not prove commercial deployment or farm-wide reliability.</w:t>
      </w:r>
    </w:p>
    <w:p>
      <w:pPr>
        <w:keepLines/>
      </w:pPr>
      <w:r>
        <w:rPr>
          <w:b/>
        </w:rPr>
        <w:t xml:space="preserve">Current gap / next action: </w:t>
      </w:r>
      <w:r>
        <w:t>No named architecture or integration evidence gap remains for the scoped concept demonstrator. T01 and E6-11 are separate bounded partial results, not architecture defects. No further architecture evidence action is required. Preserve the current demonstrator and exact evidence versions; change it only for a genuine defect or future requirement.</w:t>
      </w:r>
    </w:p>
    <w:p>
      <w:pPr>
        <w:pStyle w:val="Heading2"/>
        <w:keepNext/>
      </w:pPr>
      <w:r>
        <w:t>E6-04 AI collaboration and my development judgement</w:t>
      </w:r>
    </w:p>
    <w:p>
      <w:pPr>
        <w:keepLines/>
      </w:pPr>
      <w:r>
        <w:rPr>
          <w:b/>
        </w:rPr>
        <w:t xml:space="preserve">Current state: </w:t>
      </w:r>
      <w:r>
        <w:t>Complete | Supporting</w:t>
      </w:r>
      <w:r>
        <w:t xml:space="preserve">    </w:t>
      </w:r>
      <w:r>
        <w:rPr>
          <w:b/>
        </w:rPr>
        <w:t xml:space="preserve">GPO links: </w:t>
      </w:r>
      <w:r>
        <w:t>GPO3; supporting GPO2, GPO4, GPO5, GPO6</w:t>
      </w:r>
    </w:p>
    <w:p>
      <w:pPr>
        <w:keepLines/>
      </w:pPr>
      <w:r>
        <w:rPr>
          <w:b/>
        </w:rPr>
        <w:t xml:space="preserve">What this is / current evidence: </w:t>
      </w:r>
      <w:r>
        <w:t>The record contains repeated examples where AI proposals were accepted, challenged, reduced, redirected or rejected and where the consequences were checked. AI has operated most usefully as a teammate/co-worker with stronger detailed coding knowledge in some areas, while Jeremy retained requirements, architecture, physical construction, testing and acceptance judgement.</w:t>
      </w:r>
    </w:p>
    <w:p>
      <w:pPr>
        <w:keepLines/>
      </w:pPr>
      <w:r>
        <w:rPr>
          <w:b/>
        </w:rPr>
        <w:t xml:space="preserve">Why I map it this way: </w:t>
      </w:r>
      <w:r>
        <w:t>GPO3 is the strongest link because the evidence is my judgement over AI proposals, alternatives and consequences. GPO2/GPO4 support the use of current development tools and new learning; GPO5/GPO6 are only supporting and do not turn AI into human teamwork.</w:t>
      </w:r>
    </w:p>
    <w:p>
      <w:pPr>
        <w:keepLines/>
      </w:pPr>
      <w:r>
        <w:rPr>
          <w:b/>
        </w:rPr>
        <w:t xml:space="preserve">Evidence/source locator: </w:t>
      </w:r>
      <w:r>
        <w:t>S8, S9, S12, S14. Task_6_AI_Collaboration_Evidence_v0.3.docx; D: Development Record v0.6; W: Learning Task 6 Working Draft v0.12; current GitHub PR history. The retained collaboration cases show accepted, challenged, reduced, redirected and rejected AI proposals.</w:t>
      </w:r>
    </w:p>
    <w:p>
      <w:pPr>
        <w:keepLines/>
      </w:pPr>
      <w:r>
        <w:rPr>
          <w:b/>
        </w:rPr>
        <w:t xml:space="preserve">Boundary / what it does not prove: </w:t>
      </w:r>
      <w:r>
        <w:t>AI interaction is not independent corroboration, human teamwork or stakeholder validation. The collaboration record supports my judgement only when tied to the resulting decision and evidence.</w:t>
      </w:r>
    </w:p>
    <w:p>
      <w:pPr>
        <w:keepLines/>
      </w:pPr>
      <w:r>
        <w:rPr>
          <w:b/>
        </w:rPr>
        <w:t xml:space="preserve">Current gap / next action: </w:t>
      </w:r>
      <w:r>
        <w:t>No material evidence-maintenance gap remains for this claim. The final LT6 only needs to select the strongest examples rather than rely on volume. No further evidence collection is required. Carry the clearest collaboration cases into the final reflection while keeping human responsibility explicit.</w:t>
      </w:r>
    </w:p>
    <w:p>
      <w:pPr>
        <w:pStyle w:val="Heading2"/>
        <w:keepNext/>
      </w:pPr>
      <w:r>
        <w:t>E6-05 Guardrail architecture redesign</w:t>
      </w:r>
    </w:p>
    <w:p>
      <w:pPr>
        <w:keepLines/>
      </w:pPr>
      <w:r>
        <w:rPr>
          <w:b/>
        </w:rPr>
        <w:t xml:space="preserve">Current state: </w:t>
      </w:r>
      <w:r>
        <w:t>Complete | Direct</w:t>
      </w:r>
      <w:r>
        <w:t xml:space="preserve">    </w:t>
      </w:r>
      <w:r>
        <w:rPr>
          <w:b/>
        </w:rPr>
        <w:t xml:space="preserve">GPO links: </w:t>
      </w:r>
      <w:r>
        <w:t>GPO2, GPO3; supporting GPO4, GPO6</w:t>
      </w:r>
    </w:p>
    <w:p>
      <w:pPr>
        <w:keepLines/>
      </w:pPr>
      <w:r>
        <w:rPr>
          <w:b/>
        </w:rPr>
        <w:t xml:space="preserve">What this is / current evidence: </w:t>
      </w:r>
      <w:r>
        <w:t>T05 demonstrates the intended authority boundary across direct facts, comparison/graph results, semantic interpretation, general explanation, unsupported measurements, conflicting user assertions, source capability limits, forecast/decision boundaries, contextual follow-up and invalid state-changing input. The corrected nitrogen example makes the before/after evidence explicit: a clear unsupported-measurement request no longer falls through as an unclear semantic question; the application terminates it at the deterministic capability boundary.</w:t>
      </w:r>
    </w:p>
    <w:p>
      <w:pPr>
        <w:keepLines/>
      </w:pPr>
      <w:r>
        <w:rPr>
          <w:b/>
        </w:rPr>
        <w:t xml:space="preserve">Why I map it this way: </w:t>
      </w:r>
      <w:r>
        <w:t>GPO2/GPO3 are supported by the implemented and tested authority boundary; GPO4/GPO6 are supporting through new AI practice, provenance, refusal boundaries and responsible allocation of machine authority.</w:t>
      </w:r>
    </w:p>
    <w:p>
      <w:pPr>
        <w:keepLines/>
      </w:pPr>
      <w:r>
        <w:rPr>
          <w:b/>
        </w:rPr>
        <w:t xml:space="preserve">Evidence/source locator: </w:t>
      </w:r>
      <w:r>
        <w:t>S7, S9, S12, S14. R: docs/evidence/t05-analysis-ai-grounding-2026-10-02.md; docs/testing-and-evaluation.md; current routing/grounding code and tests; PR #38 forecast boundary; PR #41 source wording; PR #47 known-value fixture; PR #48 test correction. D: Development Record v0.6. W: Working Draft v0.12 Figure 3.</w:t>
      </w:r>
    </w:p>
    <w:p>
      <w:pPr>
        <w:keepLines/>
      </w:pPr>
      <w:r>
        <w:rPr>
          <w:b/>
        </w:rPr>
        <w:t xml:space="preserve">Boundary / what it does not prove: </w:t>
      </w:r>
      <w:r>
        <w:t>This does not prove that users prefer the conversational interface, that every possible prompt will be useful, or that model-assisted latency is acceptable to intended users. Those are separate E6-11/performance questions.</w:t>
      </w:r>
    </w:p>
    <w:p>
      <w:pPr>
        <w:keepLines/>
      </w:pPr>
      <w:r>
        <w:rPr>
          <w:b/>
        </w:rPr>
        <w:t xml:space="preserve">Current gap / next action: </w:t>
      </w:r>
      <w:r>
        <w:t>No material acceptance gap remains for this scoped authority-boundary claim. T05 is PASS. Model-assisted latency remains a documented limitation rather than a correctness failure. No further functional acceptance action is required. Carry the T05 evidence, failure cases and latency limitation into the final Task 6 analysis.</w:t>
      </w:r>
    </w:p>
    <w:p>
      <w:pPr>
        <w:pStyle w:val="Heading2"/>
        <w:keepNext/>
      </w:pPr>
      <w:r>
        <w:t>E6-06 Local voice processing decision</w:t>
      </w:r>
    </w:p>
    <w:p>
      <w:pPr>
        <w:keepLines/>
      </w:pPr>
      <w:r>
        <w:rPr>
          <w:b/>
        </w:rPr>
        <w:t xml:space="preserve">Current state: </w:t>
      </w:r>
      <w:r>
        <w:t>Complete | Supporting + Direct</w:t>
      </w:r>
      <w:r>
        <w:t xml:space="preserve">    </w:t>
      </w:r>
      <w:r>
        <w:rPr>
          <w:b/>
        </w:rPr>
        <w:t xml:space="preserve">GPO links: </w:t>
      </w:r>
      <w:r>
        <w:t>GPO1, GPO2, GPO3, GPO6</w:t>
      </w:r>
    </w:p>
    <w:p>
      <w:pPr>
        <w:keepLines/>
      </w:pPr>
      <w:r>
        <w:rPr>
          <w:b/>
        </w:rPr>
        <w:t xml:space="preserve">What this is / current evidence: </w:t>
      </w:r>
      <w:r>
        <w:t>The client-side allocation works in normal prototype use and supports both modalities without duplicating speech services on the Pi. The stakeholder sessions strengthen the decision: one participant naturally typed while the farmer naturally spoke, and both obtained useful Ask FarmPi results.</w:t>
      </w:r>
    </w:p>
    <w:p>
      <w:pPr>
        <w:keepLines/>
      </w:pPr>
      <w:r>
        <w:rPr>
          <w:b/>
        </w:rPr>
        <w:t xml:space="preserve">Why I map it this way: </w:t>
      </w:r>
      <w:r>
        <w:t>GPO1/GPO2/GPO3 are supported by component allocation across Android and the Pi, while GPO6 is supported by avoiding unnecessary duplicate services. P001/P002 strengthen the decision by showing both typed and spoken use.</w:t>
      </w:r>
    </w:p>
    <w:p>
      <w:pPr>
        <w:keepLines/>
      </w:pPr>
      <w:r>
        <w:rPr>
          <w:b/>
        </w:rPr>
        <w:t xml:space="preserve">Evidence/source locator: </w:t>
      </w:r>
      <w:r>
        <w:t>S7, S11, S13, S9. R: docs/android-client.md; docs/evidence/android-ux-v01-validation.md; docs/evidence/t05-analysis-ai-grounding-2026-10-02.md cross-test notes; live Android/device acceptance on 2 October 2026. U: P001 typed Ask FarmPi while P002 used spoken Ask FarmPi.</w:t>
      </w:r>
    </w:p>
    <w:p>
      <w:pPr>
        <w:keepLines/>
      </w:pPr>
      <w:r>
        <w:rPr>
          <w:b/>
        </w:rPr>
        <w:t xml:space="preserve">Boundary / what it does not prove: </w:t>
      </w:r>
      <w:r>
        <w:t>This does not establish that the Android speech-recognition service itself is fully offline, accessible to every user, equally accurate for all accents/noise conditions, or preferred by all users.</w:t>
      </w:r>
    </w:p>
    <w:p>
      <w:pPr>
        <w:keepLines/>
      </w:pPr>
      <w:r>
        <w:rPr>
          <w:b/>
        </w:rPr>
        <w:t xml:space="preserve">Current gap / next action: </w:t>
      </w:r>
      <w:r>
        <w:t>No architecture evidence gap remains for where voice belongs. The two sessions also show that conversational access should not be treated as voice-only. No further evidence action is required for this allocation decision. Retain both typed and spoken Ask FarmPi support.</w:t>
      </w:r>
    </w:p>
    <w:p>
      <w:pPr>
        <w:pStyle w:val="Heading2"/>
        <w:keepNext/>
      </w:pPr>
      <w:r>
        <w:t>E6-07 Small model and hardware trade off</w:t>
      </w:r>
    </w:p>
    <w:p>
      <w:pPr>
        <w:keepLines/>
      </w:pPr>
      <w:r>
        <w:rPr>
          <w:b/>
        </w:rPr>
        <w:t xml:space="preserve">Current state: </w:t>
      </w:r>
      <w:r>
        <w:t>Complete | Direct</w:t>
      </w:r>
      <w:r>
        <w:t xml:space="preserve">    </w:t>
      </w:r>
      <w:r>
        <w:rPr>
          <w:b/>
        </w:rPr>
        <w:t xml:space="preserve">GPO links: </w:t>
      </w:r>
      <w:r>
        <w:t>GPO2, GPO3; supporting GPO4, GPO6</w:t>
      </w:r>
    </w:p>
    <w:p>
      <w:pPr>
        <w:keepLines/>
      </w:pPr>
      <w:r>
        <w:rPr>
          <w:b/>
        </w:rPr>
        <w:t xml:space="preserve">What this is / current evidence: </w:t>
      </w:r>
      <w:r>
        <w:t>The current proof-of-concept uses Pi-local Qwen3 0.6B Q4_K_M through llama-server. Historical larger-model trials remain comparison evidence. T05 shows the small model can fulfil the bounded semantic/explanation role while deterministic routes remain application-owned. Both stakeholder sessions noticed model-assisted delay, but both still described Ask FarmPi as useful/understandable when used.</w:t>
      </w:r>
    </w:p>
    <w:p>
      <w:pPr>
        <w:keepLines/>
      </w:pPr>
      <w:r>
        <w:rPr>
          <w:b/>
        </w:rPr>
        <w:t xml:space="preserve">Why I map it this way: </w:t>
      </w:r>
      <w:r>
        <w:t>GPO2/GPO3 are supported by measured tool/runtime selection and trade-off judgement. GPO4 is supported by new local-LLM learning and GPO6 by hardware reuse, cost/resource restraint and avoiding larger models without a demonstrated need.</w:t>
      </w:r>
    </w:p>
    <w:p>
      <w:pPr>
        <w:keepLines/>
      </w:pPr>
      <w:r>
        <w:rPr>
          <w:b/>
        </w:rPr>
        <w:t xml:space="preserve">Evidence/source locator: </w:t>
      </w:r>
      <w:r>
        <w:t>S7, S11, S13, S9. R: README.md; docs/architecture.md; docs/testing-and-evaluation.md; docs/history/local-llm-evaluation.md; docs/evidence/t05-analysis-ai-grounding-2026-10-02.md; current Pi deployment configuration. W: Working Draft v0.12 Figure 7. U: P001/P002 usability records and consolidated summary.</w:t>
      </w:r>
    </w:p>
    <w:p>
      <w:pPr>
        <w:keepLines/>
      </w:pPr>
      <w:r>
        <w:rPr>
          <w:b/>
        </w:rPr>
        <w:t xml:space="preserve">Boundary / what it does not prove: </w:t>
      </w:r>
      <w:r>
        <w:t>This does not prove production-grade language quality, a universal acceptable response-time threshold, energy savings, or that every intended user would tolerate the same latency.</w:t>
      </w:r>
    </w:p>
    <w:p>
      <w:pPr>
        <w:keepLines/>
      </w:pPr>
      <w:r>
        <w:rPr>
          <w:b/>
        </w:rPr>
        <w:t xml:space="preserve">Current gap / next action: </w:t>
      </w:r>
      <w:r>
        <w:t>The model/hardware trade-off is sufficiently evidenced for the current concept demonstrator. Latency remains a known limitation, not an unresolved evidence action. No further capstone evidence action is required. Reopen model/hardware selection only for a future requirement or a demonstrated usability failure.</w:t>
      </w:r>
    </w:p>
    <w:p>
      <w:pPr>
        <w:pStyle w:val="Heading2"/>
        <w:keepNext/>
      </w:pPr>
      <w:r>
        <w:t>E6-08 Requirements traceability</w:t>
      </w:r>
    </w:p>
    <w:p>
      <w:pPr>
        <w:keepLines/>
      </w:pPr>
      <w:r>
        <w:rPr>
          <w:b/>
        </w:rPr>
        <w:t xml:space="preserve">Current state: </w:t>
      </w:r>
      <w:r>
        <w:t>Complete | Direct</w:t>
      </w:r>
      <w:r>
        <w:t xml:space="preserve">    </w:t>
      </w:r>
      <w:r>
        <w:rPr>
          <w:b/>
        </w:rPr>
        <w:t xml:space="preserve">GPO links: </w:t>
      </w:r>
      <w:r>
        <w:t>GPO2, GPO3; supporting GPO4, GPO6</w:t>
      </w:r>
    </w:p>
    <w:p>
      <w:pPr>
        <w:keepLines/>
      </w:pPr>
      <w:r>
        <w:rPr>
          <w:b/>
        </w:rPr>
        <w:t xml:space="preserve">What this is / current evidence: </w:t>
      </w:r>
      <w:r>
        <w:t>The current baseline has a controlled chain from need and requirement identifiers to accepted, partial or deferred technical states, and now to the human usability evidence. T02/T03/T05/T07 are PASS, T06 is accepted, T04 is deferred, T01 remains PARTIAL at 1/6, and E6-11 remains PARTIAL at its methodological boundary.</w:t>
      </w:r>
    </w:p>
    <w:p>
      <w:pPr>
        <w:keepLines/>
      </w:pPr>
      <w:r>
        <w:rPr>
          <w:b/>
        </w:rPr>
        <w:t xml:space="preserve">Why I map it this way: </w:t>
      </w:r>
      <w:r>
        <w:t>GPO2 is directly supported by the need-to-requirement-to-test chain. GPO3 is supported by distinguishing PASS, PARTIAL and deferred states without rewriting them; GPO4/GPO6 are supporting through changed evidence practice and explicit scope/resource control.</w:t>
      </w:r>
    </w:p>
    <w:p>
      <w:pPr>
        <w:keepLines/>
      </w:pPr>
      <w:r>
        <w:rPr>
          <w:b/>
        </w:rPr>
        <w:t xml:space="preserve">Evidence/source locator: </w:t>
      </w:r>
      <w:r>
        <w:t>S5, S7, S9, S12. N: sections 5, 6, 8 and 9. This Evidence Sufficiency Control v0.7. this Evidence-to-GPO Mapping v0.4. D: Development Record v0.6. R: docs/testing-and-evaluation.md; docs/evidence/capstone-acceptance-consolidation-2026-10-03.md; docs/evidence/s3/soil-moisture-coco-calibration-2026-10-03.md; current main 2e89ce3. U: stakeholder evidence set.</w:t>
      </w:r>
    </w:p>
    <w:p>
      <w:pPr>
        <w:keepLines/>
      </w:pPr>
      <w:r>
        <w:rPr>
          <w:b/>
        </w:rPr>
        <w:t xml:space="preserve">Boundary / what it does not prove: </w:t>
      </w:r>
      <w:r>
        <w:t>Traceability does not make T01 complete, convert two participants into broad validation, or reconstruct raw acceptance details that were not retained.</w:t>
      </w:r>
    </w:p>
    <w:p>
      <w:pPr>
        <w:keepLines/>
      </w:pPr>
      <w:r>
        <w:rPr>
          <w:b/>
        </w:rPr>
        <w:t xml:space="preserve">Current gap / next action: </w:t>
      </w:r>
      <w:r>
        <w:t>No material governance contradiction remains. The remaining work is document/GPO narrative alignment, not missing project-state traceability. Preserve the requirement/result baseline and update the GPO mapping/LT6 to match this control. Do not rewrite partial results into passes.</w:t>
      </w:r>
    </w:p>
    <w:p>
      <w:pPr>
        <w:pStyle w:val="Heading2"/>
        <w:keepNext/>
      </w:pPr>
      <w:r>
        <w:t>E6-09 Human stakeholder conversations</w:t>
      </w:r>
    </w:p>
    <w:p>
      <w:pPr>
        <w:keepLines/>
      </w:pPr>
      <w:r>
        <w:rPr>
          <w:b/>
        </w:rPr>
        <w:t xml:space="preserve">Current state: </w:t>
      </w:r>
      <w:r>
        <w:t>Complete | Direct human + Corroborating</w:t>
      </w:r>
      <w:r>
        <w:t xml:space="preserve">    </w:t>
      </w:r>
      <w:r>
        <w:rPr>
          <w:b/>
        </w:rPr>
        <w:t xml:space="preserve">GPO links: </w:t>
      </w:r>
      <w:r>
        <w:t>GPO2, GPO5; conditional GPO3, GPO6</w:t>
      </w:r>
    </w:p>
    <w:p>
      <w:pPr>
        <w:keepLines/>
      </w:pPr>
      <w:r>
        <w:rPr>
          <w:b/>
        </w:rPr>
        <w:t xml:space="preserve">What this is / current evidence: </w:t>
      </w:r>
      <w:r>
        <w:t>Two dated human sessions now show what minimum explanation was sufficient for these participants before phone use. One participant was a general non-technical user and one was a farmer. Both could use FarmPi after the presentation pack, both valued the pictures, and both preferred a short guided walkthrough for a real installation.</w:t>
      </w:r>
    </w:p>
    <w:p>
      <w:pPr>
        <w:keepLines/>
      </w:pPr>
      <w:r>
        <w:rPr>
          <w:b/>
        </w:rPr>
        <w:t xml:space="preserve">Why I map it this way: </w:t>
      </w:r>
      <w:r>
        <w:t>GPO2/GPO5 are supported by direct interaction with two prospective users and recording what they understood, asked and did. GPO3/GPO6 are conditional only where their actual feedback informed judgement or user-access considerations.</w:t>
      </w:r>
    </w:p>
    <w:p>
      <w:pPr>
        <w:keepLines/>
      </w:pPr>
      <w:r>
        <w:rPr>
          <w:b/>
        </w:rPr>
        <w:t xml:space="preserve">Evidence/source locator: </w:t>
      </w:r>
      <w:r>
        <w:t>S10, S11, S13, S9. U: P001 and P002 completed Stakeholder Usability Test Records; Consolidated Stakeholder Usability Evidence Summary v0.1. Both sessions were completed 5 October 2026 with anonymous-observation consent and no prior FarmPi exposure.</w:t>
      </w:r>
    </w:p>
    <w:p>
      <w:pPr>
        <w:keepLines/>
      </w:pPr>
      <w:r>
        <w:rPr>
          <w:b/>
        </w:rPr>
        <w:t xml:space="preserve">Boundary / what it does not prove: </w:t>
      </w:r>
      <w:r>
        <w:t>The two participants do not represent farmers or non-technical users generally. Their responses do not establish market demand, industry-wide usability or cultural validation.</w:t>
      </w:r>
    </w:p>
    <w:p>
      <w:pPr>
        <w:keepLines/>
      </w:pPr>
      <w:r>
        <w:rPr>
          <w:b/>
        </w:rPr>
        <w:t xml:space="preserve">Current gap / next action: </w:t>
      </w:r>
      <w:r>
        <w:t>No remaining evidence gap exists for the scoped two-participant stakeholder-conversation claim. No further participant session is required for the current capstone. Preserve the two individual records and the consolidated summary.</w:t>
      </w:r>
    </w:p>
    <w:p>
      <w:pPr>
        <w:pStyle w:val="Heading2"/>
        <w:keepNext/>
      </w:pPr>
      <w:r>
        <w:t>E6-10 Stakeholder feedback changing or validating design</w:t>
      </w:r>
    </w:p>
    <w:p>
      <w:pPr>
        <w:keepLines/>
      </w:pPr>
      <w:r>
        <w:rPr>
          <w:b/>
        </w:rPr>
        <w:t xml:space="preserve">Current state: </w:t>
      </w:r>
      <w:r>
        <w:t>Complete | Direct</w:t>
      </w:r>
      <w:r>
        <w:t xml:space="preserve">    </w:t>
      </w:r>
      <w:r>
        <w:rPr>
          <w:b/>
        </w:rPr>
        <w:t xml:space="preserve">GPO links: </w:t>
      </w:r>
      <w:r>
        <w:t>GPO2, GPO3, GPO5; conditional GPO6</w:t>
      </w:r>
    </w:p>
    <w:p>
      <w:pPr>
        <w:keepLines/>
      </w:pPr>
      <w:r>
        <w:rPr>
          <w:b/>
        </w:rPr>
        <w:t xml:space="preserve">What this is / current evidence: </w:t>
      </w:r>
      <w:r>
        <w:t>The participant evidence now leads to explicit decisions: retain both fixed and conversational routes; recommend a short guided installation walkthrough; keep the strong visual material while reducing duplicated text; simplify the provenance/trust question; retain both typed and spoken Ask FarmPi; consider greater Ask FarmPi prominence on the dashboard; and keep animal-related integration as future needs work rather than current scope.</w:t>
      </w:r>
    </w:p>
    <w:p>
      <w:pPr>
        <w:keepLines/>
      </w:pPr>
      <w:r>
        <w:rPr>
          <w:b/>
        </w:rPr>
        <w:t xml:space="preserve">Why I map it this way: </w:t>
      </w:r>
      <w:r>
        <w:t>GPO2/GPO3/GPO5 are supported because participant observations now lead to explicit retain/change/future decisions rather than simply being collected. GPO6 is conditional where feedback affects access, clarity or responsible presentation.</w:t>
      </w:r>
    </w:p>
    <w:p>
      <w:pPr>
        <w:keepLines/>
      </w:pPr>
      <w:r>
        <w:rPr>
          <w:b/>
        </w:rPr>
        <w:t xml:space="preserve">Evidence/source locator: </w:t>
      </w:r>
      <w:r>
        <w:t>S11, S12, S13, S9. U: P001/P002 records and Consolidated Stakeholder Usability Evidence Summary v0.1. D: Development Record v0.6 section 3.29.</w:t>
      </w:r>
    </w:p>
    <w:p>
      <w:pPr>
        <w:keepLines/>
      </w:pPr>
      <w:r>
        <w:rPr>
          <w:b/>
        </w:rPr>
        <w:t xml:space="preserve">Boundary / what it does not prove: </w:t>
      </w:r>
      <w:r>
        <w:t>This does not prove that every suggested response has been implemented, that one interface is preferred by all users, or that a single participant suggestion defines a new requirement.</w:t>
      </w:r>
    </w:p>
    <w:p>
      <w:pPr>
        <w:keepLines/>
      </w:pPr>
      <w:r>
        <w:rPr>
          <w:b/>
        </w:rPr>
        <w:t xml:space="preserve">Current gap / next action: </w:t>
      </w:r>
      <w:r>
        <w:t>No remaining evidence gap exists for the scoped feedback-to-decision claim. Some decisions are future design/documentation responses rather than implemented features, and are labelled that way. No further evidence collection is required. Carry the decisions and their limits into the final LT6 narrative and any later interface/document revision.</w:t>
      </w:r>
    </w:p>
    <w:p>
      <w:pPr>
        <w:pStyle w:val="Heading2"/>
        <w:keepNext/>
      </w:pPr>
      <w:r>
        <w:t>E6-11 Beta usability and conversational interface test</w:t>
      </w:r>
    </w:p>
    <w:p>
      <w:pPr>
        <w:keepLines/>
      </w:pPr>
      <w:r>
        <w:rPr>
          <w:b/>
        </w:rPr>
        <w:t xml:space="preserve">Current state: </w:t>
      </w:r>
      <w:r>
        <w:t>Partial | Direct</w:t>
      </w:r>
      <w:r>
        <w:t xml:space="preserve">    </w:t>
      </w:r>
      <w:r>
        <w:rPr>
          <w:b/>
        </w:rPr>
        <w:t xml:space="preserve">GPO links: </w:t>
      </w:r>
      <w:r>
        <w:t>GPO2, GPO3, GPO5</w:t>
      </w:r>
    </w:p>
    <w:p>
      <w:pPr>
        <w:keepLines/>
      </w:pPr>
      <w:r>
        <w:rPr>
          <w:b/>
        </w:rPr>
        <w:t xml:space="preserve">What this is / current evidence: </w:t>
      </w:r>
      <w:r>
        <w:t>Real usability evidence now exists. Both participants transferred the presentation-pack concepts into the live application without recorded task coaching, both obtained useful information, and both used Ask FarmPi successfully when they chose it. P001 naturally preferred the fixed interface for quick facts and typed Ask FarmPi for contextual/explanatory work; P002 naturally used spoken Ask FarmPi as the primary route. Model-assisted latency was noticeable but did not make Ask FarmPi unusable in either session.</w:t>
      </w:r>
    </w:p>
    <w:p>
      <w:pPr>
        <w:keepLines/>
      </w:pPr>
      <w:r>
        <w:rPr>
          <w:b/>
        </w:rPr>
        <w:t xml:space="preserve">Why I map it this way: </w:t>
      </w:r>
      <w:r>
        <w:t>GPO2/GPO3/GPO5 are supported by real post-onboarding usability observation and natural interaction preference. The state remains PARTIAL because the controlled two-method comparison and complete timing data were not obtained.</w:t>
      </w:r>
    </w:p>
    <w:p>
      <w:pPr>
        <w:keepLines/>
      </w:pPr>
      <w:r>
        <w:rPr>
          <w:b/>
        </w:rPr>
        <w:t xml:space="preserve">Evidence/source locator: </w:t>
      </w:r>
      <w:r>
        <w:t>S10, S11, S13, S9. U: P001/P002 completed records and Consolidated Stakeholder Usability Evidence Summary v0.1; FarmPi Stakeholder Usability Test Record v0.2 remains the intended protocol; R: docs/testing-and-evaluation.md for usability/performance boundaries.</w:t>
      </w:r>
    </w:p>
    <w:p>
      <w:pPr>
        <w:keepLines/>
      </w:pPr>
      <w:r>
        <w:rPr>
          <w:b/>
        </w:rPr>
        <w:t xml:space="preserve">Boundary / what it does not prove: </w:t>
      </w:r>
      <w:r>
        <w:t>The original protocol expected all six tasks to be completed through both methods with comparative timings. That controlled repeat did not occur in either session and several timings were not recorded. The evidence therefore does not support a speed comparison, an objective superiority claim, a numerical latency threshold or population-level preference.</w:t>
      </w:r>
    </w:p>
    <w:p>
      <w:pPr>
        <w:keepLines/>
      </w:pPr>
      <w:r>
        <w:rPr>
          <w:b/>
        </w:rPr>
        <w:t xml:space="preserve">Current gap / next action: </w:t>
      </w:r>
      <w:r>
        <w:t>The controlled-comparison component remains incomplete. This is retained as a final PARTIAL result rather than reconstructed or pursued through unavailable additional participants. No further participant session is planned for the current capstone. Preserve E6-11 as PARTIAL and carry its qualitative findings and limitations into LT6.</w:t>
      </w:r>
    </w:p>
    <w:p>
      <w:pPr>
        <w:pStyle w:val="Heading2"/>
        <w:keepNext/>
      </w:pPr>
      <w:r>
        <w:t>E6-12 Grounding provenance and failure testing</w:t>
      </w:r>
    </w:p>
    <w:p>
      <w:pPr>
        <w:keepLines/>
      </w:pPr>
      <w:r>
        <w:rPr>
          <w:b/>
        </w:rPr>
        <w:t xml:space="preserve">Current state: </w:t>
      </w:r>
      <w:r>
        <w:t>Complete | Direct</w:t>
      </w:r>
      <w:r>
        <w:t xml:space="preserve">    </w:t>
      </w:r>
      <w:r>
        <w:rPr>
          <w:b/>
        </w:rPr>
        <w:t xml:space="preserve">GPO links: </w:t>
      </w:r>
      <w:r>
        <w:t>GPO2, GPO3; supporting GPO6</w:t>
      </w:r>
    </w:p>
    <w:p>
      <w:pPr>
        <w:keepLines/>
      </w:pPr>
      <w:r>
        <w:rPr>
          <w:b/>
        </w:rPr>
        <w:t xml:space="preserve">What this is / current evidence: </w:t>
      </w:r>
      <w:r>
        <w:t>T05 live acceptance covers deterministic facts/graphs/comparisons, semantic interpretation, provenance, general explanation, unsupported data, ambiguity recovery, conflicting user assertions, external-source capability limits, forecast/decision boundaries, contextual follow-up, simulation transparency and rejected invalid state changes. The retained nitrogen failure/correction pair gives a clear adverse case showing the routing defect and the corrected deterministic capability boundary. PR #47 closes the known-value fixture gap, and the post-PR #48 Pi suite is clean at 192 tests.</w:t>
      </w:r>
    </w:p>
    <w:p>
      <w:pPr>
        <w:keepLines/>
      </w:pPr>
      <w:r>
        <w:rPr>
          <w:b/>
        </w:rPr>
        <w:t xml:space="preserve">Why I map it this way: </w:t>
      </w:r>
      <w:r>
        <w:t>GPO2/GPO3 are supported by bounded acceptance, known-value checks and adverse cases. GPO6 is supporting through provenance, refusal of unsupported claims and keeping fluent language separate from application authority.</w:t>
      </w:r>
    </w:p>
    <w:p>
      <w:pPr>
        <w:keepLines/>
      </w:pPr>
      <w:r>
        <w:rPr>
          <w:b/>
        </w:rPr>
        <w:t xml:space="preserve">Evidence/source locator: </w:t>
      </w:r>
      <w:r>
        <w:t>S7, S9, S12, S14. R: docs/evidence/t05-analysis-ai-grounding-2026-10-02.md; docs/evidence/capstone-acceptance-consolidation-2026-10-03.md; current routing/grounding tests; T05 assessment baseline a309147; PR #47 known-value comparison fixture; PR #48 stale-assertion correction. D: Development Record v0.6; W: Working Draft v0.12 Figure 3. Current main 2e89ce3.</w:t>
      </w:r>
    </w:p>
    <w:p>
      <w:pPr>
        <w:keepLines/>
      </w:pPr>
      <w:r>
        <w:rPr>
          <w:b/>
        </w:rPr>
        <w:t xml:space="preserve">Boundary / what it does not prove: </w:t>
      </w:r>
      <w:r>
        <w:t>This does not prove physical sensor completeness, external-user usability, commercial agronomic truth or production AI quality. Model-assisted latency remains a documented limitation. The 192-test result does not by itself prove every requirement.</w:t>
      </w:r>
    </w:p>
    <w:p>
      <w:pPr>
        <w:keepLines/>
      </w:pPr>
      <w:r>
        <w:rPr>
          <w:b/>
        </w:rPr>
        <w:t xml:space="preserve">Current gap / next action: </w:t>
      </w:r>
      <w:r>
        <w:t>No material T05 grounding/provenance/failure evidence gap remains. T05 is PASS; the corrected nitrogen example remains useful before/after evidence. No further acceptance action is required for this scoped evidence item. Preserve exact versions, selected raw/live examples and the latency limitation when updating the GPO mapping and final Task 6 evidence references.</w:t>
      </w:r>
    </w:p>
    <w:p>
      <w:pPr>
        <w:pStyle w:val="Heading2"/>
        <w:keepNext/>
      </w:pPr>
      <w:r>
        <w:t>E6-13 End-to-end concept demonstrator</w:t>
      </w:r>
    </w:p>
    <w:p>
      <w:pPr>
        <w:keepLines/>
      </w:pPr>
      <w:r>
        <w:rPr>
          <w:b/>
        </w:rPr>
        <w:t xml:space="preserve">Current state: </w:t>
      </w:r>
      <w:r>
        <w:t>Partial | Direct</w:t>
      </w:r>
      <w:r>
        <w:t xml:space="preserve">    </w:t>
      </w:r>
      <w:r>
        <w:rPr>
          <w:b/>
        </w:rPr>
        <w:t xml:space="preserve">GPO links: </w:t>
      </w:r>
      <w:r>
        <w:t>GPO1, GPO2; supporting GPO3, GPO4</w:t>
      </w:r>
    </w:p>
    <w:p>
      <w:pPr>
        <w:keepLines/>
      </w:pPr>
      <w:r>
        <w:rPr>
          <w:b/>
        </w:rPr>
        <w:t xml:space="preserve">What this is / current evidence: </w:t>
      </w:r>
      <w:r>
        <w:t>FarmPi is one coherent concept demonstrator spanning two physical managed nodes, communications, API, MariaDB, deterministic analytics/graphs, Android and Pi-local AI. T02/T03/T05/T06/T07 are accepted and one physical soil-moisture measurement path is demonstrated end to end. The two stakeholder sessions add real post-onboarding usability evidence rather than developer/operator assumptions.</w:t>
      </w:r>
    </w:p>
    <w:p>
      <w:pPr>
        <w:keepLines/>
      </w:pPr>
      <w:r>
        <w:rPr>
          <w:b/>
        </w:rPr>
        <w:t xml:space="preserve">Why I map it this way: </w:t>
      </w:r>
      <w:r>
        <w:t>GPO1/GPO2 are the strongest links because FarmPi is a coherent multi-component demonstrator. GPO3/GPO4 are supporting through integration judgement and new application practice, while T01 and E6-11 remain explicit partial boundaries.</w:t>
      </w:r>
    </w:p>
    <w:p>
      <w:pPr>
        <w:keepLines/>
      </w:pPr>
      <w:r>
        <w:rPr>
          <w:b/>
        </w:rPr>
        <w:t xml:space="preserve">Evidence/source locator: </w:t>
      </w:r>
      <w:r>
        <w:t>S7, S9, S11, S12, S13. R: current main 2e89ce3; PR #49 acceptance-consolidation reference 1deb4acd; PRs #53/#54 calibration evidence/documentation reconciliation; docs/evidence/capstone-acceptance-consolidation-2026-10-03.md; docs/evidence/t05-analysis-ai-grounding-2026-10-02.md; docs/evidence/s3/soil-moisture-live-acceptance-2026-10-02.md; docs/evidence/s3/soil-moisture-coco-calibration-2026-10-03.md; docs/architecture.md. D: Development Record v0.6. W: Working Draft v0.12. U: stakeholder evidence set.</w:t>
      </w:r>
    </w:p>
    <w:p>
      <w:pPr>
        <w:keepLines/>
      </w:pPr>
      <w:r>
        <w:rPr>
          <w:b/>
        </w:rPr>
        <w:t xml:space="preserve">Boundary / what it does not prove: </w:t>
      </w:r>
      <w:r>
        <w:t>The demonstrator does not satisfy complete six-measurement T01 physical acceptance, a controlled comparative usability result, commercial agronomic truth, production security, broad farmer validation or deferred alerts/thresholds.</w:t>
      </w:r>
    </w:p>
    <w:p>
      <w:pPr>
        <w:keepLines/>
      </w:pPr>
      <w:r>
        <w:rPr>
          <w:b/>
        </w:rPr>
        <w:t xml:space="preserve">Current gap / next action: </w:t>
      </w:r>
      <w:r>
        <w:t>The bounded final limitations are T01 at 1/6 physical measurement types and E6-11 at PARTIAL. These are retained as honest final results rather than active feature-development tasks. Keep the demonstrator stable. Preserve the two physical nodes, one accepted real sensor path, stakeholder records, simulation boundary and both PARTIAL results. Do not broaden features or buy additional sensors merely to make the project appear more complete.</w:t>
      </w:r>
    </w:p>
    <w:p>
      <w:pPr>
        <w:pStyle w:val="Heading2"/>
        <w:keepNext/>
      </w:pPr>
      <w:r>
        <w:t>E6-14 VESCAS in action</w:t>
      </w:r>
    </w:p>
    <w:p>
      <w:pPr>
        <w:keepLines/>
      </w:pPr>
      <w:r>
        <w:rPr>
          <w:b/>
        </w:rPr>
        <w:t xml:space="preserve">Current state: </w:t>
      </w:r>
      <w:r>
        <w:t>Partial | Supporting</w:t>
      </w:r>
      <w:r>
        <w:t xml:space="preserve">    </w:t>
      </w:r>
      <w:r>
        <w:rPr>
          <w:b/>
        </w:rPr>
        <w:t xml:space="preserve">GPO links: </w:t>
      </w:r>
      <w:r>
        <w:t>GPO3, GPO6</w:t>
      </w:r>
    </w:p>
    <w:p>
      <w:pPr>
        <w:keepLines/>
      </w:pPr>
      <w:r>
        <w:rPr>
          <w:b/>
        </w:rPr>
        <w:t xml:space="preserve">What this is / current evidence: </w:t>
      </w:r>
      <w:r>
        <w:t>These records connect choices to data integrity, maintainability, user control, resource restraint and practical usability. The T01 budget decision provides a concrete sustainability/resource-use example, while the stakeholder sessions add direct evidence that different users may prefer different interaction modes and that onboarding language matters.</w:t>
      </w:r>
    </w:p>
    <w:p>
      <w:pPr>
        <w:keepLines/>
      </w:pPr>
      <w:r>
        <w:rPr>
          <w:b/>
        </w:rPr>
        <w:t xml:space="preserve">Why I map it this way: </w:t>
      </w:r>
      <w:r>
        <w:t>GPO3/GPO6 are the appropriate links because the evidence concerns ethical, sustainability and user-access decisions with real consequences. The cultural/Te Tiriti boundary is deliberately not filled by generic usability evidence.</w:t>
      </w:r>
    </w:p>
    <w:p>
      <w:pPr>
        <w:keepLines/>
      </w:pPr>
      <w:r>
        <w:rPr>
          <w:b/>
        </w:rPr>
        <w:t xml:space="preserve">Evidence/source locator: </w:t>
      </w:r>
      <w:r>
        <w:t>S2, S3, S5, S9, S12, S14. L4: sections 4.4–4.6. L5: sections 5.2–5.7. N: sections 4, 6 and 7. Task_6_AI_Collaboration_Evidence_v0.3.docx; D: Development Record v0.6; W: Working Draft v0.12; R: docs/learning-and-sources.md and current evidence records. U: stakeholder evidence contributes user-access/usability observations only.</w:t>
      </w:r>
    </w:p>
    <w:p>
      <w:pPr>
        <w:keepLines/>
      </w:pPr>
      <w:r>
        <w:rPr>
          <w:b/>
        </w:rPr>
        <w:t xml:space="preserve">Boundary / what it does not prove: </w:t>
      </w:r>
      <w:r>
        <w:t>Local processing alone does not establish privacy compliance, cultural practice or Te Tiriti application. Reuse does not prove lower energy use, voice does not prove accessibility, and generic usability feedback does not constitute cultural validation.</w:t>
      </w:r>
    </w:p>
    <w:p>
      <w:pPr>
        <w:keepLines/>
      </w:pPr>
      <w:r>
        <w:rPr>
          <w:b/>
        </w:rPr>
        <w:t xml:space="preserve">Current gap / next action: </w:t>
      </w:r>
      <w:r>
        <w:t>Technical ethical/sustainability cases and general user-access evidence are strong. Cultural/Te Tiriti and professional-code application remain bounded and must be handled through the wider portfolio without inventing consultation that did not occur. Carry the strongest concrete consequences into the final VESCAS reflection. Do not manufacture cultural evidence or turn generic stakeholder usability into Te Tiriti validation.</w:t>
      </w:r>
    </w:p>
    <w:p>
      <w:pPr>
        <w:pStyle w:val="Heading2"/>
        <w:keepNext/>
      </w:pPr>
      <w:r>
        <w:t>E6-15 New learning and changed practice</w:t>
      </w:r>
    </w:p>
    <w:p>
      <w:pPr>
        <w:keepLines/>
      </w:pPr>
      <w:r>
        <w:rPr>
          <w:b/>
        </w:rPr>
        <w:t xml:space="preserve">Current state: </w:t>
      </w:r>
      <w:r>
        <w:t>Partial | Supporting</w:t>
      </w:r>
      <w:r>
        <w:t xml:space="preserve">    </w:t>
      </w:r>
      <w:r>
        <w:rPr>
          <w:b/>
        </w:rPr>
        <w:t xml:space="preserve">GPO links: </w:t>
      </w:r>
      <w:r>
        <w:t>GPO1, GPO2, GPO3, GPO4</w:t>
      </w:r>
    </w:p>
    <w:p>
      <w:pPr>
        <w:keepLines/>
      </w:pPr>
      <w:r>
        <w:rPr>
          <w:b/>
        </w:rPr>
        <w:t xml:space="preserve">What this is / current evidence: </w:t>
      </w:r>
      <w:r>
        <w:t>The project contains strong changed-practice evidence in application development, local LLM deployment, deterministic/LLM authority, model-role reduction, AI-supervised development, Android voice allocation, deployment repeatability, evidence control and user testing. The stakeholder sessions add a final changed-practice case: observed user behaviour changed the interpretation of the prototype question from choosing a winning interface to supporting different user interaction preferences.</w:t>
      </w:r>
    </w:p>
    <w:p>
      <w:pPr>
        <w:keepLines/>
      </w:pPr>
      <w:r>
        <w:rPr>
          <w:b/>
        </w:rPr>
        <w:t xml:space="preserve">Why I map it this way: </w:t>
      </w:r>
      <w:r>
        <w:t>GPO1-GPO4 are supported because the capstone extends established systems capability into contemporary application development, local AI and evidence-led practice. The remaining work is narrative integration, not another technical experiment.</w:t>
      </w:r>
    </w:p>
    <w:p>
      <w:pPr>
        <w:keepLines/>
      </w:pPr>
      <w:r>
        <w:rPr>
          <w:b/>
        </w:rPr>
        <w:t xml:space="preserve">Evidence/source locator: </w:t>
      </w:r>
      <w:r>
        <w:t>S2, S3, S8, S9, S12, S14. L4 and L5 establish the prior capability/learning baseline. Task_6_AI_Collaboration_Evidence_v0.3.docx; D: Development Record v0.6; W: Working Draft v0.12; this Evidence-to-GPO Mapping v0.4; R: current GitHub evidence; U: stakeholder evidence set.</w:t>
      </w:r>
    </w:p>
    <w:p>
      <w:pPr>
        <w:keepLines/>
      </w:pPr>
      <w:r>
        <w:rPr>
          <w:b/>
        </w:rPr>
        <w:t xml:space="preserve">Boundary / what it does not prove: </w:t>
      </w:r>
      <w:r>
        <w:t>A new tool name, an AI-generated explanation, an old troubleshooting skill or one stakeholder comment is not by itself evidence of new learning in action.</w:t>
      </w:r>
    </w:p>
    <w:p>
      <w:pPr>
        <w:keepLines/>
      </w:pPr>
      <w:r>
        <w:rPr>
          <w:b/>
        </w:rPr>
        <w:t xml:space="preserve">Current gap / next action: </w:t>
      </w:r>
      <w:r>
        <w:t>The evidence itself is strong. This item remains PARTIAL only because the final LT6 narrative and later portfolio-wide reconciliation still need to integrate the complete changed-practice chain. Update LT6 using a small number of explicit changed-practice chains, then reassess this item for COMPLETE. Keep established systems/networking competence separate from what the capstone genuinely added.</w:t>
      </w:r>
    </w:p>
    <w:p>
      <w:pPr>
        <w:pStyle w:val="Heading2"/>
        <w:keepNext/>
      </w:pPr>
      <w:r>
        <w:t>E6-16 SFIA capability mapping</w:t>
      </w:r>
    </w:p>
    <w:p>
      <w:pPr>
        <w:keepLines/>
      </w:pPr>
      <w:r>
        <w:rPr>
          <w:b/>
        </w:rPr>
        <w:t xml:space="preserve">Current state: </w:t>
      </w:r>
      <w:r>
        <w:t>Planned | Supporting — later LT4 cross-reference</w:t>
      </w:r>
      <w:r>
        <w:t xml:space="preserve">    </w:t>
      </w:r>
      <w:r>
        <w:rPr>
          <w:b/>
        </w:rPr>
        <w:t xml:space="preserve">GPO links: </w:t>
      </w:r>
      <w:r>
        <w:t>GPO1, GPO4, GPO5 — later cross-reference only</w:t>
      </w:r>
    </w:p>
    <w:p>
      <w:pPr>
        <w:keepLines/>
      </w:pPr>
      <w:r>
        <w:rPr>
          <w:b/>
        </w:rPr>
        <w:t xml:space="preserve">What this is / current evidence: </w:t>
      </w:r>
      <w:r>
        <w:t>LT4 provides an existing capability baseline and a place to relate later learning to professional practice.</w:t>
      </w:r>
    </w:p>
    <w:p>
      <w:pPr>
        <w:keepLines/>
      </w:pPr>
      <w:r>
        <w:rPr>
          <w:b/>
        </w:rPr>
        <w:t xml:space="preserve">Why I map it this way: </w:t>
      </w:r>
      <w:r>
        <w:t>This is a later cross-reference rather than new Task 6 evidence. It can help GPO1/GPO4/GPO5 once LT4 is refreshed, but the mapping itself cannot create capability evidence.</w:t>
      </w:r>
    </w:p>
    <w:p>
      <w:pPr>
        <w:keepLines/>
      </w:pPr>
      <w:r>
        <w:rPr>
          <w:b/>
        </w:rPr>
        <w:t xml:space="preserve">Evidence/source locator: </w:t>
      </w:r>
      <w:r>
        <w:t>S2, S9. L4: section 4.3, existing SFIA self-assessment. E6-15 and the verified technical/human evidence provide the later inputs. No separate Task 6 SFIA deliverable is attached.</w:t>
      </w:r>
    </w:p>
    <w:p>
      <w:pPr>
        <w:keepLines/>
      </w:pPr>
      <w:r>
        <w:rPr>
          <w:b/>
        </w:rPr>
        <w:t xml:space="preserve">Boundary / what it does not prove: </w:t>
      </w:r>
      <w:r>
        <w:t>A mapping cannot supply missing implementation, new learning or human contribution evidence. No new SFIA level is claimed here.</w:t>
      </w:r>
    </w:p>
    <w:p>
      <w:pPr>
        <w:keepLines/>
      </w:pPr>
      <w:r>
        <w:rPr>
          <w:b/>
        </w:rPr>
        <w:t xml:space="preserve">Current gap / next action: </w:t>
      </w:r>
      <w:r>
        <w:t>The later LT4 update depends on the now-stable Task 6 evidence and remains deliberately deferred until LT6 is reconciled. After the Task 6 narrative is stable, update LT4 using the relevant official SFIA version and descriptors, linking the evidence and keeping responsibility claims within what it supports.</w:t>
      </w:r>
    </w:p>
    <w:p>
      <w:pPr>
        <w:pStyle w:val="Heading2"/>
        <w:keepNext/>
      </w:pPr>
      <w:r>
        <w:t>E6-17 Optional external confirmation</w:t>
      </w:r>
    </w:p>
    <w:p>
      <w:pPr>
        <w:keepLines/>
      </w:pPr>
      <w:r>
        <w:rPr>
          <w:b/>
        </w:rPr>
        <w:t xml:space="preserve">Current state: </w:t>
      </w:r>
      <w:r>
        <w:t>Not required | Corroborating — optional</w:t>
      </w:r>
      <w:r>
        <w:t xml:space="preserve">    </w:t>
      </w:r>
      <w:r>
        <w:rPr>
          <w:b/>
        </w:rPr>
        <w:t xml:space="preserve">GPO links: </w:t>
      </w:r>
      <w:r>
        <w:t>No GPO completion claim relies on this item.</w:t>
      </w:r>
    </w:p>
    <w:p>
      <w:pPr>
        <w:keepLines/>
      </w:pPr>
      <w:r>
        <w:rPr>
          <w:b/>
        </w:rPr>
        <w:t xml:space="preserve">What this is / current evidence: </w:t>
      </w:r>
      <w:r>
        <w:t>The stable register preserves the historical E6-17 identifier without making optional external confirmation a completion condition.</w:t>
      </w:r>
    </w:p>
    <w:p>
      <w:pPr>
        <w:keepLines/>
      </w:pPr>
      <w:r>
        <w:rPr>
          <w:b/>
        </w:rPr>
        <w:t xml:space="preserve">Why I map it this way: </w:t>
      </w:r>
      <w:r>
        <w:t>No GPO completion claim depends on this optional item. Keeping the identifier preserves continuity without turning facilitator or external confirmation into an artificial evidence requirement.</w:t>
      </w:r>
    </w:p>
    <w:p>
      <w:pPr>
        <w:keepLines/>
      </w:pPr>
      <w:r>
        <w:rPr>
          <w:b/>
        </w:rPr>
        <w:t xml:space="preserve">Evidence/source locator: </w:t>
      </w:r>
      <w:r>
        <w:t>S9. No external-confirmation artifact is relied upon in this control. Direct technical and stakeholder evidence support the current capstone claims without it.</w:t>
      </w:r>
    </w:p>
    <w:p>
      <w:pPr>
        <w:keepLines/>
      </w:pPr>
      <w:r>
        <w:rPr>
          <w:b/>
        </w:rPr>
        <w:t xml:space="preserve">Boundary / what it does not prove: </w:t>
      </w:r>
      <w:r>
        <w:t>It proves no endorsement, assessment outcome, farmer validation or team contribution, and none is claimed.</w:t>
      </w:r>
    </w:p>
    <w:p>
      <w:pPr>
        <w:keepLines/>
      </w:pPr>
      <w:r>
        <w:rPr>
          <w:b/>
        </w:rPr>
        <w:t xml:space="preserve">Current gap / next action: </w:t>
      </w:r>
      <w:r>
        <w:t>There is no current evidence gap because external confirmation is not required or relied upon for the capstone evidence set. No action required. Do not reintroduce this item as an artificial open gap.</w:t>
      </w:r>
    </w:p>
    <w:p>
      <w:pPr>
        <w:pStyle w:val="Heading2"/>
        <w:keepNext/>
      </w:pPr>
      <w:r>
        <w:t>E6-18 Deployment repeatability and maintenance</w:t>
      </w:r>
    </w:p>
    <w:p>
      <w:pPr>
        <w:keepLines/>
      </w:pPr>
      <w:r>
        <w:rPr>
          <w:b/>
        </w:rPr>
        <w:t xml:space="preserve">Current state: </w:t>
      </w:r>
      <w:r>
        <w:t>Complete | Direct</w:t>
      </w:r>
      <w:r>
        <w:t xml:space="preserve">    </w:t>
      </w:r>
      <w:r>
        <w:rPr>
          <w:b/>
        </w:rPr>
        <w:t xml:space="preserve">GPO links: </w:t>
      </w:r>
      <w:r>
        <w:t>GPO2, GPO3, GPO4; supporting GPO1, GPO6</w:t>
      </w:r>
    </w:p>
    <w:p>
      <w:pPr>
        <w:keepLines/>
      </w:pPr>
      <w:r>
        <w:rPr>
          <w:b/>
        </w:rPr>
        <w:t xml:space="preserve">What this is / current evidence: </w:t>
      </w:r>
      <w:r>
        <w:t>A new Raspberry Pi SD card was installed and FarmPi was successfully reinstalled using the documented approach. This provides direct prototype repeatability evidence rather than relying on documentation existence alone.</w:t>
      </w:r>
    </w:p>
    <w:p>
      <w:pPr>
        <w:keepLines/>
      </w:pPr>
      <w:r>
        <w:rPr>
          <w:b/>
        </w:rPr>
        <w:t xml:space="preserve">Why I map it this way: </w:t>
      </w:r>
      <w:r>
        <w:t>GPO2/GPO3/GPO4 are supported by repeatable deployment using the documented approach; GPO1/GPO6 are supporting through systems breadth, maintainability and reuse. The claim is limited to prototype repeatability.</w:t>
      </w:r>
    </w:p>
    <w:p>
      <w:pPr>
        <w:keepLines/>
      </w:pPr>
      <w:r>
        <w:rPr>
          <w:b/>
        </w:rPr>
        <w:t xml:space="preserve">Evidence/source locator: </w:t>
      </w:r>
      <w:r>
        <w:t>S7, S9, S12, S14. D: Development Record v0.6; this Evidence-to-GPO Mapping v0.4; R: docs/evidence/capstone-acceptance-consolidation-2026-10-03.md and deployment documentation. W: Working Draft v0.12 Figure 7 shows the FarmPi application and local LLM services running on the reinstalled/deployed system.</w:t>
      </w:r>
    </w:p>
    <w:p>
      <w:pPr>
        <w:keepLines/>
      </w:pPr>
      <w:r>
        <w:rPr>
          <w:b/>
        </w:rPr>
        <w:t xml:space="preserve">Boundary / what it does not prove: </w:t>
      </w:r>
      <w:r>
        <w:t>This does not prove production disaster recovery, restore-time objectives, hardware-failure resilience or commercial supportability.</w:t>
      </w:r>
    </w:p>
    <w:p>
      <w:pPr>
        <w:keepLines/>
      </w:pPr>
      <w:r>
        <w:rPr>
          <w:b/>
        </w:rPr>
        <w:t xml:space="preserve">Current gap / next action: </w:t>
      </w:r>
      <w:r>
        <w:t>No material T07 closure gap remains for the concept demonstrator. No further evidence action is required. Preserve the reinstall evidence and deployment documentation; reopen only for a future requirement or material failure.</w:t>
      </w:r>
    </w:p>
    <w:p>
      <w:pPr>
        <w:pStyle w:val="Heading2"/>
        <w:keepNext/>
      </w:pPr>
      <w:r>
        <w:t>E6-19 Communication, freshness, history and storage acceptance</w:t>
      </w:r>
    </w:p>
    <w:p>
      <w:pPr>
        <w:keepLines/>
      </w:pPr>
      <w:r>
        <w:rPr>
          <w:b/>
        </w:rPr>
        <w:t xml:space="preserve">Current state: </w:t>
      </w:r>
      <w:r>
        <w:t>Complete | Direct</w:t>
      </w:r>
      <w:r>
        <w:t xml:space="preserve">    </w:t>
      </w:r>
      <w:r>
        <w:rPr>
          <w:b/>
        </w:rPr>
        <w:t xml:space="preserve">GPO links: </w:t>
      </w:r>
      <w:r>
        <w:t>GPO2, GPO3; supporting GPO1</w:t>
      </w:r>
    </w:p>
    <w:p>
      <w:pPr>
        <w:keepLines/>
      </w:pPr>
      <w:r>
        <w:rPr>
          <w:b/>
        </w:rPr>
        <w:t xml:space="preserve">What this is / current evidence: </w:t>
      </w:r>
      <w:r>
        <w:t>The project-owner/operator confirms the previously completed T02 and T03 acceptance as PASS. Current implementation/evidence also supports timestamp freshness, sequence/deduplication, reconnection, persistent MariaDB history, observation-time preservation and deterministic history/graph retrieval.</w:t>
      </w:r>
    </w:p>
    <w:p>
      <w:pPr>
        <w:keepLines/>
      </w:pPr>
      <w:r>
        <w:rPr>
          <w:b/>
        </w:rPr>
        <w:t xml:space="preserve">Why I map it this way: </w:t>
      </w:r>
      <w:r>
        <w:t>GPO2/GPO3 are supported by accepted communication/freshness/history/storage behaviour and disciplined evidence boundaries; GPO1 is supporting because these are core integrated-system capabilities.</w:t>
      </w:r>
    </w:p>
    <w:p>
      <w:pPr>
        <w:keepLines/>
      </w:pPr>
      <w:r>
        <w:rPr>
          <w:b/>
        </w:rPr>
        <w:t xml:space="preserve">Evidence/source locator: </w:t>
      </w:r>
      <w:r>
        <w:t>S7, S9, S12. D: Development Record v0.6; this Evidence-to-GPO Mapping v0.4; R: docs/evidence/capstone-acceptance-consolidation-2026-10-03.md, docs/testing-and-evaluation.md and current history/time/data documentation.</w:t>
      </w:r>
    </w:p>
    <w:p>
      <w:pPr>
        <w:keepLines/>
      </w:pPr>
      <w:r>
        <w:rPr>
          <w:b/>
        </w:rPr>
        <w:t xml:space="preserve">Boundary / what it does not prove: </w:t>
      </w:r>
      <w:r>
        <w:t>This control does not reconstruct a missing raw acceptance transcript or invent buffering/storage-reduction numbers that were not retained. It also does not prove production-scale retention or connectivity under every farm condition.</w:t>
      </w:r>
    </w:p>
    <w:p>
      <w:pPr>
        <w:keepLines/>
      </w:pPr>
      <w:r>
        <w:rPr>
          <w:b/>
        </w:rPr>
        <w:t xml:space="preserve">Current gap / next action: </w:t>
      </w:r>
      <w:r>
        <w:t>No material T02/T03 closure gap remains in the current capstone state. No further evidence action is required. Preserve the accepted state and supporting implementation evidence; reopen only if later integration invalidates it.</w:t>
      </w:r>
    </w:p>
    <w:p>
      <w:r>
        <w:br w:type="page"/>
      </w:r>
    </w:p>
    <w:p>
      <w:pPr>
        <w:pStyle w:val="Heading1"/>
        <w:keepNext/>
      </w:pPr>
      <w:r>
        <w:t>5. Reverse GPO view</w:t>
      </w:r>
    </w:p>
    <w:p>
      <w:r>
        <w:t>This section looks at the same evidence from the GPO direction. The point is to see where Task 6 is strong, where the evidence remains bounded, and where the wider portfolio is still the correct place to carry the full outcome.</w:t>
      </w:r>
    </w:p>
    <w:p>
      <w:pPr>
        <w:pStyle w:val="Heading2"/>
        <w:keepNext/>
      </w:pPr>
      <w:r>
        <w:t>GPO1</w:t>
      </w:r>
    </w:p>
    <w:p>
      <w:pPr>
        <w:pStyle w:val="SmallNote"/>
      </w:pPr>
      <w:r>
        <w:t>Demonstrate a broad foundation of knowledge and skills suitable for a range of careers involving Information Technology.</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c>
          <w:tcPr>
            <w:tcW w:type="dxa" w:w="2268"/>
            <w:tcMar>
              <w:top w:w="60" w:type="dxa"/>
              <w:start w:w="70" w:type="dxa"/>
              <w:bottom w:w="60" w:type="dxa"/>
              <w:end w:w="70" w:type="dxa"/>
            </w:tcMar>
            <w:shd w:fill="D9EAF7"/>
          </w:tcPr>
          <w:p>
            <w:r>
              <w:rPr>
                <w:b/>
                <w:sz w:val="17"/>
              </w:rPr>
              <w:t>Sufficiency</w:t>
            </w:r>
          </w:p>
        </w:tc>
        <w:tc>
          <w:tcPr>
            <w:tcW w:type="dxa" w:w="7824"/>
            <w:tcMar>
              <w:top w:w="60" w:type="dxa"/>
              <w:start w:w="70" w:type="dxa"/>
              <w:bottom w:w="60" w:type="dxa"/>
              <w:end w:w="70" w:type="dxa"/>
            </w:tcMar>
            <w:shd w:fill="D9EAF7"/>
          </w:tcPr>
          <w:p>
            <w:r>
              <w:rPr>
                <w:sz w:val="17"/>
              </w:rPr>
              <w:t>My position</w:t>
            </w:r>
          </w:p>
        </w:tc>
      </w:tr>
      <w:tr>
        <w:tc>
          <w:tcPr>
            <w:tcW w:type="dxa" w:w="2268"/>
            <w:tcMar>
              <w:top w:w="60" w:type="dxa"/>
              <w:start w:w="70" w:type="dxa"/>
              <w:bottom w:w="60" w:type="dxa"/>
              <w:end w:w="70" w:type="dxa"/>
            </w:tcMar>
          </w:tcPr>
          <w:p>
            <w:r>
              <w:rPr>
                <w:b/>
                <w:sz w:val="17"/>
              </w:rPr>
              <w:t>Strongest current evidence</w:t>
            </w:r>
          </w:p>
        </w:tc>
        <w:tc>
          <w:tcPr>
            <w:tcW w:type="dxa" w:w="7824"/>
            <w:tcMar>
              <w:top w:w="60" w:type="dxa"/>
              <w:start w:w="70" w:type="dxa"/>
              <w:bottom w:w="60" w:type="dxa"/>
              <w:end w:w="70" w:type="dxa"/>
            </w:tcMar>
          </w:tcPr>
          <w:p>
            <w:r>
              <w:rPr>
                <w:sz w:val="17"/>
              </w:rPr>
              <w:t>E6-03 and E6-13 show the integrated demonstrator; E6-18 adds repeatable deployment, E6-19 adds accepted communication/history operation, E6-06 shows client/server allocation, and E6-15 identifies the genuinely new application/AI learning.</w:t>
            </w:r>
          </w:p>
        </w:tc>
      </w:tr>
      <w:tr>
        <w:tc>
          <w:tcPr>
            <w:tcW w:type="dxa" w:w="2268"/>
            <w:tcMar>
              <w:top w:w="60" w:type="dxa"/>
              <w:start w:w="70" w:type="dxa"/>
              <w:bottom w:w="60" w:type="dxa"/>
              <w:end w:w="70" w:type="dxa"/>
            </w:tcMar>
          </w:tcPr>
          <w:p>
            <w:r>
              <w:rPr>
                <w:b/>
                <w:sz w:val="17"/>
              </w:rPr>
              <w:t>Weak or missing</w:t>
            </w:r>
          </w:p>
        </w:tc>
        <w:tc>
          <w:tcPr>
            <w:tcW w:type="dxa" w:w="7824"/>
            <w:tcMar>
              <w:top w:w="60" w:type="dxa"/>
              <w:start w:w="70" w:type="dxa"/>
              <w:bottom w:w="60" w:type="dxa"/>
              <w:end w:w="70" w:type="dxa"/>
            </w:tcMar>
          </w:tcPr>
          <w:p>
            <w:r>
              <w:rPr>
                <w:sz w:val="17"/>
              </w:rPr>
              <w:t>Complete T01 physical breadth is still missing: soil moisture is the only physically demonstrated FR01 measurement type. Two physical nodes exist, but simulated channels on those nodes do not become physical measurements. This is a recorded capstone limitation rather than an active completion task.</w:t>
            </w:r>
          </w:p>
        </w:tc>
      </w:tr>
      <w:tr>
        <w:tc>
          <w:tcPr>
            <w:tcW w:type="dxa" w:w="2268"/>
            <w:tcMar>
              <w:top w:w="60" w:type="dxa"/>
              <w:start w:w="70" w:type="dxa"/>
              <w:bottom w:w="60" w:type="dxa"/>
              <w:end w:w="70" w:type="dxa"/>
            </w:tcMar>
          </w:tcPr>
          <w:p>
            <w:r>
              <w:rPr>
                <w:b/>
                <w:sz w:val="17"/>
              </w:rPr>
              <w:t>Next action and limit</w:t>
            </w:r>
          </w:p>
        </w:tc>
        <w:tc>
          <w:tcPr>
            <w:tcW w:type="dxa" w:w="7824"/>
            <w:tcMar>
              <w:top w:w="60" w:type="dxa"/>
              <w:start w:w="70" w:type="dxa"/>
              <w:bottom w:w="60" w:type="dxa"/>
              <w:end w:w="70" w:type="dxa"/>
            </w:tcMar>
          </w:tcPr>
          <w:p>
            <w:r>
              <w:rPr>
                <w:sz w:val="17"/>
              </w:rPr>
              <w:t>Retain the two physical nodes, one accepted real sensor path, the PARTIAL 1/6 T01 result and the simulation boundary. Do not spend more simply to make the hardware look complete. Use E6-16 later to cross-reference mature capability in LT4.</w:t>
            </w:r>
          </w:p>
        </w:tc>
      </w:tr>
    </w:tbl>
    <w:p>
      <w:pPr>
        <w:pStyle w:val="Heading2"/>
        <w:keepNext/>
      </w:pPr>
      <w:r>
        <w:t>GPO2</w:t>
      </w:r>
    </w:p>
    <w:p>
      <w:pPr>
        <w:pStyle w:val="SmallNote"/>
      </w:pPr>
      <w:r>
        <w:t>Apply Information Technology industry tools, processes and standards to respond to organisational, cultural and community requirements.</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c>
          <w:tcPr>
            <w:tcW w:type="dxa" w:w="2268"/>
            <w:tcMar>
              <w:top w:w="60" w:type="dxa"/>
              <w:start w:w="70" w:type="dxa"/>
              <w:bottom w:w="60" w:type="dxa"/>
              <w:end w:w="70" w:type="dxa"/>
            </w:tcMar>
            <w:shd w:fill="D9EAF7"/>
          </w:tcPr>
          <w:p>
            <w:r>
              <w:rPr>
                <w:b/>
                <w:sz w:val="17"/>
              </w:rPr>
              <w:t>Sufficiency</w:t>
            </w:r>
          </w:p>
        </w:tc>
        <w:tc>
          <w:tcPr>
            <w:tcW w:type="dxa" w:w="7824"/>
            <w:tcMar>
              <w:top w:w="60" w:type="dxa"/>
              <w:start w:w="70" w:type="dxa"/>
              <w:bottom w:w="60" w:type="dxa"/>
              <w:end w:w="70" w:type="dxa"/>
            </w:tcMar>
            <w:shd w:fill="D9EAF7"/>
          </w:tcPr>
          <w:p>
            <w:r>
              <w:rPr>
                <w:sz w:val="17"/>
              </w:rPr>
              <w:t>My position</w:t>
            </w:r>
          </w:p>
        </w:tc>
      </w:tr>
      <w:tr>
        <w:tc>
          <w:tcPr>
            <w:tcW w:type="dxa" w:w="2268"/>
            <w:tcMar>
              <w:top w:w="60" w:type="dxa"/>
              <w:start w:w="70" w:type="dxa"/>
              <w:bottom w:w="60" w:type="dxa"/>
              <w:end w:w="70" w:type="dxa"/>
            </w:tcMar>
          </w:tcPr>
          <w:p>
            <w:r>
              <w:rPr>
                <w:b/>
                <w:sz w:val="17"/>
              </w:rPr>
              <w:t>Strongest current evidence</w:t>
            </w:r>
          </w:p>
        </w:tc>
        <w:tc>
          <w:tcPr>
            <w:tcW w:type="dxa" w:w="7824"/>
            <w:tcMar>
              <w:top w:w="60" w:type="dxa"/>
              <w:start w:w="70" w:type="dxa"/>
              <w:bottom w:w="60" w:type="dxa"/>
              <w:end w:w="70" w:type="dxa"/>
            </w:tcMar>
          </w:tcPr>
          <w:p>
            <w:r>
              <w:rPr>
                <w:sz w:val="17"/>
              </w:rPr>
              <w:t>E6-01, E6-03, E6-05, E6-08, E6-09, E6-10, E6-12, E6-18 and E6-19 now show requirements-led development, current tools/processes, controlled architecture, grounding, deployment repeatability, evidence discipline and real stakeholder response.</w:t>
            </w:r>
          </w:p>
        </w:tc>
      </w:tr>
      <w:tr>
        <w:tc>
          <w:tcPr>
            <w:tcW w:type="dxa" w:w="2268"/>
            <w:tcMar>
              <w:top w:w="60" w:type="dxa"/>
              <w:start w:w="70" w:type="dxa"/>
              <w:bottom w:w="60" w:type="dxa"/>
              <w:end w:w="70" w:type="dxa"/>
            </w:tcMar>
          </w:tcPr>
          <w:p>
            <w:r>
              <w:rPr>
                <w:b/>
                <w:sz w:val="17"/>
              </w:rPr>
              <w:t>Weak or missing</w:t>
            </w:r>
          </w:p>
        </w:tc>
        <w:tc>
          <w:tcPr>
            <w:tcW w:type="dxa" w:w="7824"/>
            <w:tcMar>
              <w:top w:w="60" w:type="dxa"/>
              <w:start w:w="70" w:type="dxa"/>
              <w:bottom w:w="60" w:type="dxa"/>
              <w:end w:w="70" w:type="dxa"/>
            </w:tcMar>
          </w:tcPr>
          <w:p>
            <w:r>
              <w:rPr>
                <w:sz w:val="17"/>
              </w:rPr>
              <w:t>The human evidence is intentionally narrow: two qualitative participants, including one farmer. It does not establish industry-wide user validation, and E6-11 does not provide a controlled speed comparison.</w:t>
            </w:r>
          </w:p>
        </w:tc>
      </w:tr>
      <w:tr>
        <w:tc>
          <w:tcPr>
            <w:tcW w:type="dxa" w:w="2268"/>
            <w:tcMar>
              <w:top w:w="60" w:type="dxa"/>
              <w:start w:w="70" w:type="dxa"/>
              <w:bottom w:w="60" w:type="dxa"/>
              <w:end w:w="70" w:type="dxa"/>
            </w:tcMar>
          </w:tcPr>
          <w:p>
            <w:r>
              <w:rPr>
                <w:b/>
                <w:sz w:val="17"/>
              </w:rPr>
              <w:t>Next action and limit</w:t>
            </w:r>
          </w:p>
        </w:tc>
        <w:tc>
          <w:tcPr>
            <w:tcW w:type="dxa" w:w="7824"/>
            <w:tcMar>
              <w:top w:w="60" w:type="dxa"/>
              <w:start w:w="70" w:type="dxa"/>
              <w:bottom w:w="60" w:type="dxa"/>
              <w:end w:w="70" w:type="dxa"/>
            </w:tcMar>
          </w:tcPr>
          <w:p>
            <w:r>
              <w:rPr>
                <w:sz w:val="17"/>
              </w:rPr>
              <w:t>Carry the stakeholder findings and their limits into LT6. Do not treat two participants as representative of a population or use operator acceptance as a substitute for the retained human records.</w:t>
            </w:r>
          </w:p>
        </w:tc>
      </w:tr>
    </w:tbl>
    <w:p>
      <w:pPr>
        <w:pStyle w:val="Heading2"/>
        <w:keepNext/>
      </w:pPr>
      <w:r>
        <w:t>GPO3</w:t>
      </w:r>
    </w:p>
    <w:p>
      <w:pPr>
        <w:pStyle w:val="SmallNote"/>
      </w:pPr>
      <w:r>
        <w:t>Apply critical thinking and independent judgement to develop Information Technology solutions to complex real-world problems.</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c>
          <w:tcPr>
            <w:tcW w:type="dxa" w:w="2268"/>
            <w:tcMar>
              <w:top w:w="60" w:type="dxa"/>
              <w:start w:w="70" w:type="dxa"/>
              <w:bottom w:w="60" w:type="dxa"/>
              <w:end w:w="70" w:type="dxa"/>
            </w:tcMar>
            <w:shd w:fill="D9EAF7"/>
          </w:tcPr>
          <w:p>
            <w:r>
              <w:rPr>
                <w:b/>
                <w:sz w:val="17"/>
              </w:rPr>
              <w:t>Sufficiency</w:t>
            </w:r>
          </w:p>
        </w:tc>
        <w:tc>
          <w:tcPr>
            <w:tcW w:type="dxa" w:w="7824"/>
            <w:tcMar>
              <w:top w:w="60" w:type="dxa"/>
              <w:start w:w="70" w:type="dxa"/>
              <w:bottom w:w="60" w:type="dxa"/>
              <w:end w:w="70" w:type="dxa"/>
            </w:tcMar>
            <w:shd w:fill="D9EAF7"/>
          </w:tcPr>
          <w:p>
            <w:r>
              <w:rPr>
                <w:sz w:val="17"/>
              </w:rPr>
              <w:t>My position</w:t>
            </w:r>
          </w:p>
        </w:tc>
      </w:tr>
      <w:tr>
        <w:tc>
          <w:tcPr>
            <w:tcW w:type="dxa" w:w="2268"/>
            <w:tcMar>
              <w:top w:w="60" w:type="dxa"/>
              <w:start w:w="70" w:type="dxa"/>
              <w:bottom w:w="60" w:type="dxa"/>
              <w:end w:w="70" w:type="dxa"/>
            </w:tcMar>
          </w:tcPr>
          <w:p>
            <w:r>
              <w:rPr>
                <w:b/>
                <w:sz w:val="17"/>
              </w:rPr>
              <w:t>Strongest current evidence</w:t>
            </w:r>
          </w:p>
        </w:tc>
        <w:tc>
          <w:tcPr>
            <w:tcW w:type="dxa" w:w="7824"/>
            <w:tcMar>
              <w:top w:w="60" w:type="dxa"/>
              <w:start w:w="70" w:type="dxa"/>
              <w:bottom w:w="60" w:type="dxa"/>
              <w:end w:w="70" w:type="dxa"/>
            </w:tcMar>
          </w:tcPr>
          <w:p>
            <w:r>
              <w:rPr>
                <w:sz w:val="17"/>
              </w:rPr>
              <w:t>E6-04, E6-05, E6-07, E6-08, E6-10, E6-12 and E6-18 contain the clearest alternatives, failures and decisions. The nitrogen failure/correction pair, calibration progression, T01 budget decision and stakeholder-driven interaction/onboarding decisions show independent judgement under real constraints.</w:t>
            </w:r>
          </w:p>
        </w:tc>
      </w:tr>
      <w:tr>
        <w:tc>
          <w:tcPr>
            <w:tcW w:type="dxa" w:w="2268"/>
            <w:tcMar>
              <w:top w:w="60" w:type="dxa"/>
              <w:start w:w="70" w:type="dxa"/>
              <w:bottom w:w="60" w:type="dxa"/>
              <w:end w:w="70" w:type="dxa"/>
            </w:tcMar>
          </w:tcPr>
          <w:p>
            <w:r>
              <w:rPr>
                <w:b/>
                <w:sz w:val="17"/>
              </w:rPr>
              <w:t>Weak or missing</w:t>
            </w:r>
          </w:p>
        </w:tc>
        <w:tc>
          <w:tcPr>
            <w:tcW w:type="dxa" w:w="7824"/>
            <w:tcMar>
              <w:top w:w="60" w:type="dxa"/>
              <w:start w:w="70" w:type="dxa"/>
              <w:bottom w:w="60" w:type="dxa"/>
              <w:end w:w="70" w:type="dxa"/>
            </w:tcMar>
          </w:tcPr>
          <w:p>
            <w:r>
              <w:rPr>
                <w:sz w:val="17"/>
              </w:rPr>
              <w:t>The main remaining task is narrative integration: explaining why some results remain partial and how real stakeholder behaviour changed or validated decisions without overstating what two sessions prove.</w:t>
            </w:r>
          </w:p>
        </w:tc>
      </w:tr>
      <w:tr>
        <w:tc>
          <w:tcPr>
            <w:tcW w:type="dxa" w:w="2268"/>
            <w:tcMar>
              <w:top w:w="60" w:type="dxa"/>
              <w:start w:w="70" w:type="dxa"/>
              <w:bottom w:w="60" w:type="dxa"/>
              <w:end w:w="70" w:type="dxa"/>
            </w:tcMar>
          </w:tcPr>
          <w:p>
            <w:r>
              <w:rPr>
                <w:b/>
                <w:sz w:val="17"/>
              </w:rPr>
              <w:t>Next action and limit</w:t>
            </w:r>
          </w:p>
        </w:tc>
        <w:tc>
          <w:tcPr>
            <w:tcW w:type="dxa" w:w="7824"/>
            <w:tcMar>
              <w:top w:w="60" w:type="dxa"/>
              <w:start w:w="70" w:type="dxa"/>
              <w:bottom w:w="60" w:type="dxa"/>
              <w:end w:w="70" w:type="dxa"/>
            </w:tcMar>
          </w:tcPr>
          <w:p>
            <w:r>
              <w:rPr>
                <w:sz w:val="17"/>
              </w:rPr>
              <w:t>Carry the strongest decisions into the final reflection. Do not treat AI agreement, visual completeness, test count or a small participant sample as substitutes for independent judgement.</w:t>
            </w:r>
          </w:p>
        </w:tc>
      </w:tr>
    </w:tbl>
    <w:p>
      <w:pPr>
        <w:pStyle w:val="Heading2"/>
        <w:keepNext/>
      </w:pPr>
      <w:r>
        <w:t>GPO4</w:t>
      </w:r>
    </w:p>
    <w:p>
      <w:pPr>
        <w:pStyle w:val="SmallNote"/>
      </w:pPr>
      <w:r>
        <w:t>Engage in independent learning to maintain discipline currency in a rapidly changing Information Technology industry.</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c>
          <w:tcPr>
            <w:tcW w:type="dxa" w:w="2268"/>
            <w:tcMar>
              <w:top w:w="60" w:type="dxa"/>
              <w:start w:w="70" w:type="dxa"/>
              <w:bottom w:w="60" w:type="dxa"/>
              <w:end w:w="70" w:type="dxa"/>
            </w:tcMar>
            <w:shd w:fill="D9EAF7"/>
          </w:tcPr>
          <w:p>
            <w:r>
              <w:rPr>
                <w:b/>
                <w:sz w:val="17"/>
              </w:rPr>
              <w:t>Sufficiency</w:t>
            </w:r>
          </w:p>
        </w:tc>
        <w:tc>
          <w:tcPr>
            <w:tcW w:type="dxa" w:w="7824"/>
            <w:tcMar>
              <w:top w:w="60" w:type="dxa"/>
              <w:start w:w="70" w:type="dxa"/>
              <w:bottom w:w="60" w:type="dxa"/>
              <w:end w:w="70" w:type="dxa"/>
            </w:tcMar>
            <w:shd w:fill="D9EAF7"/>
          </w:tcPr>
          <w:p>
            <w:r>
              <w:rPr>
                <w:sz w:val="17"/>
              </w:rPr>
              <w:t>My position</w:t>
            </w:r>
          </w:p>
        </w:tc>
      </w:tr>
      <w:tr>
        <w:tc>
          <w:tcPr>
            <w:tcW w:type="dxa" w:w="2268"/>
            <w:tcMar>
              <w:top w:w="60" w:type="dxa"/>
              <w:start w:w="70" w:type="dxa"/>
              <w:bottom w:w="60" w:type="dxa"/>
              <w:end w:w="70" w:type="dxa"/>
            </w:tcMar>
          </w:tcPr>
          <w:p>
            <w:r>
              <w:rPr>
                <w:b/>
                <w:sz w:val="17"/>
              </w:rPr>
              <w:t>Strongest current evidence</w:t>
            </w:r>
          </w:p>
        </w:tc>
        <w:tc>
          <w:tcPr>
            <w:tcW w:type="dxa" w:w="7824"/>
            <w:tcMar>
              <w:top w:w="60" w:type="dxa"/>
              <w:start w:w="70" w:type="dxa"/>
              <w:bottom w:w="60" w:type="dxa"/>
              <w:end w:w="70" w:type="dxa"/>
            </w:tcMar>
          </w:tcPr>
          <w:p>
            <w:r>
              <w:rPr>
                <w:sz w:val="17"/>
              </w:rPr>
              <w:t>E6-04, E6-07, E6-15 and E6-18 show new learning applied to AI-assisted development, local-model evaluation, Android/application development, evidence control and repeatable deployment. E6-09/E6-10 add learning from real user behaviour and design response.</w:t>
            </w:r>
          </w:p>
        </w:tc>
      </w:tr>
      <w:tr>
        <w:tc>
          <w:tcPr>
            <w:tcW w:type="dxa" w:w="2268"/>
            <w:tcMar>
              <w:top w:w="60" w:type="dxa"/>
              <w:start w:w="70" w:type="dxa"/>
              <w:bottom w:w="60" w:type="dxa"/>
              <w:end w:w="70" w:type="dxa"/>
            </w:tcMar>
          </w:tcPr>
          <w:p>
            <w:r>
              <w:rPr>
                <w:b/>
                <w:sz w:val="17"/>
              </w:rPr>
              <w:t>Weak or missing</w:t>
            </w:r>
          </w:p>
        </w:tc>
        <w:tc>
          <w:tcPr>
            <w:tcW w:type="dxa" w:w="7824"/>
            <w:tcMar>
              <w:top w:w="60" w:type="dxa"/>
              <w:start w:w="70" w:type="dxa"/>
              <w:bottom w:w="60" w:type="dxa"/>
              <w:end w:w="70" w:type="dxa"/>
            </w:tcMar>
          </w:tcPr>
          <w:p>
            <w:r>
              <w:rPr>
                <w:sz w:val="17"/>
              </w:rPr>
              <w:t>The new-learning evidence is strong. The remaining issue is final narrative integration in LT6, not another technical or stakeholder experiment.</w:t>
            </w:r>
          </w:p>
        </w:tc>
      </w:tr>
      <w:tr>
        <w:tc>
          <w:tcPr>
            <w:tcW w:type="dxa" w:w="2268"/>
            <w:tcMar>
              <w:top w:w="60" w:type="dxa"/>
              <w:start w:w="70" w:type="dxa"/>
              <w:bottom w:w="60" w:type="dxa"/>
              <w:end w:w="70" w:type="dxa"/>
            </w:tcMar>
          </w:tcPr>
          <w:p>
            <w:r>
              <w:rPr>
                <w:b/>
                <w:sz w:val="17"/>
              </w:rPr>
              <w:t>Next action and limit</w:t>
            </w:r>
          </w:p>
        </w:tc>
        <w:tc>
          <w:tcPr>
            <w:tcW w:type="dxa" w:w="7824"/>
            <w:tcMar>
              <w:top w:w="60" w:type="dxa"/>
              <w:start w:w="70" w:type="dxa"/>
              <w:bottom w:w="60" w:type="dxa"/>
              <w:end w:w="70" w:type="dxa"/>
            </w:tcMar>
          </w:tcPr>
          <w:p>
            <w:r>
              <w:rPr>
                <w:sz w:val="17"/>
              </w:rPr>
              <w:t>Keep the genuinely new areas explicit: LLMs/AI, Kotlin/Gradle/Android application development, grounding/guardrails, supervised AI-assisted development and the changed understanding of user interaction. Do not re-label long-standing Linux/networking/systems capability as new learning.</w:t>
            </w:r>
          </w:p>
        </w:tc>
      </w:tr>
    </w:tbl>
    <w:p>
      <w:pPr>
        <w:pStyle w:val="Heading2"/>
        <w:keepNext/>
      </w:pPr>
      <w:r>
        <w:t>GPO5</w:t>
      </w:r>
    </w:p>
    <w:p>
      <w:pPr>
        <w:pStyle w:val="SmallNote"/>
      </w:pPr>
      <w:r>
        <w:t>Be prepared to contribute effectively as a member or leader in diverse cross functional Information Technology teams.</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c>
          <w:tcPr>
            <w:tcW w:type="dxa" w:w="2268"/>
            <w:tcMar>
              <w:top w:w="60" w:type="dxa"/>
              <w:start w:w="70" w:type="dxa"/>
              <w:bottom w:w="60" w:type="dxa"/>
              <w:end w:w="70" w:type="dxa"/>
            </w:tcMar>
            <w:shd w:fill="D9EAF7"/>
          </w:tcPr>
          <w:p>
            <w:r>
              <w:rPr>
                <w:b/>
                <w:sz w:val="17"/>
              </w:rPr>
              <w:t>Sufficiency</w:t>
            </w:r>
          </w:p>
        </w:tc>
        <w:tc>
          <w:tcPr>
            <w:tcW w:type="dxa" w:w="7824"/>
            <w:tcMar>
              <w:top w:w="60" w:type="dxa"/>
              <w:start w:w="70" w:type="dxa"/>
              <w:bottom w:w="60" w:type="dxa"/>
              <w:end w:w="70" w:type="dxa"/>
            </w:tcMar>
            <w:shd w:fill="D9EAF7"/>
          </w:tcPr>
          <w:p>
            <w:r>
              <w:rPr>
                <w:sz w:val="17"/>
              </w:rPr>
              <w:t>My position</w:t>
            </w:r>
          </w:p>
        </w:tc>
      </w:tr>
      <w:tr>
        <w:tc>
          <w:tcPr>
            <w:tcW w:type="dxa" w:w="2268"/>
            <w:tcMar>
              <w:top w:w="60" w:type="dxa"/>
              <w:start w:w="70" w:type="dxa"/>
              <w:bottom w:w="60" w:type="dxa"/>
              <w:end w:w="70" w:type="dxa"/>
            </w:tcMar>
          </w:tcPr>
          <w:p>
            <w:r>
              <w:rPr>
                <w:b/>
                <w:sz w:val="17"/>
              </w:rPr>
              <w:t>Strongest current evidence</w:t>
            </w:r>
          </w:p>
        </w:tc>
        <w:tc>
          <w:tcPr>
            <w:tcW w:type="dxa" w:w="7824"/>
            <w:tcMar>
              <w:top w:w="60" w:type="dxa"/>
              <w:start w:w="70" w:type="dxa"/>
              <w:bottom w:w="60" w:type="dxa"/>
              <w:end w:w="70" w:type="dxa"/>
            </w:tcMar>
          </w:tcPr>
          <w:p>
            <w:r>
              <w:rPr>
                <w:sz w:val="17"/>
              </w:rPr>
              <w:t>E6-04 supports transparent AI-assisted work and my decision authority. E6-09/E6-10 now add genuine human stakeholder interaction: two participants contributed questions, preferences, training needs and design feedback, and I recorded my response.</w:t>
            </w:r>
          </w:p>
        </w:tc>
      </w:tr>
      <w:tr>
        <w:tc>
          <w:tcPr>
            <w:tcW w:type="dxa" w:w="2268"/>
            <w:tcMar>
              <w:top w:w="60" w:type="dxa"/>
              <w:start w:w="70" w:type="dxa"/>
              <w:bottom w:w="60" w:type="dxa"/>
              <w:end w:w="70" w:type="dxa"/>
            </w:tcMar>
          </w:tcPr>
          <w:p>
            <w:r>
              <w:rPr>
                <w:b/>
                <w:sz w:val="17"/>
              </w:rPr>
              <w:t>Weak or missing</w:t>
            </w:r>
          </w:p>
        </w:tc>
        <w:tc>
          <w:tcPr>
            <w:tcW w:type="dxa" w:w="7824"/>
            <w:tcMar>
              <w:top w:w="60" w:type="dxa"/>
              <w:start w:w="70" w:type="dxa"/>
              <w:bottom w:w="60" w:type="dxa"/>
              <w:end w:w="70" w:type="dxa"/>
            </w:tcMar>
          </w:tcPr>
          <w:p>
            <w:r>
              <w:rPr>
                <w:sz w:val="17"/>
              </w:rPr>
              <w:t>Task 6 does not by itself demonstrate contribution within a diverse cross-functional IT team. AI collaboration is not a human team, and two usability participants do not become team-leadership evidence. Earlier career evidence remains stronger for the full GPO5 claim.</w:t>
            </w:r>
          </w:p>
        </w:tc>
      </w:tr>
      <w:tr>
        <w:tc>
          <w:tcPr>
            <w:tcW w:type="dxa" w:w="2268"/>
            <w:tcMar>
              <w:top w:w="60" w:type="dxa"/>
              <w:start w:w="70" w:type="dxa"/>
              <w:bottom w:w="60" w:type="dxa"/>
              <w:end w:w="70" w:type="dxa"/>
            </w:tcMar>
          </w:tcPr>
          <w:p>
            <w:r>
              <w:rPr>
                <w:b/>
                <w:sz w:val="17"/>
              </w:rPr>
              <w:t>Next action and limit</w:t>
            </w:r>
          </w:p>
        </w:tc>
        <w:tc>
          <w:tcPr>
            <w:tcW w:type="dxa" w:w="7824"/>
            <w:tcMar>
              <w:top w:w="60" w:type="dxa"/>
              <w:start w:w="70" w:type="dxa"/>
              <w:bottom w:w="60" w:type="dxa"/>
              <w:end w:w="70" w:type="dxa"/>
            </w:tcMar>
          </w:tcPr>
          <w:p>
            <w:r>
              <w:rPr>
                <w:sz w:val="17"/>
              </w:rPr>
              <w:t>Use the stakeholder sessions only for what they actually show: communication, listening, observing behaviour and responding to feedback. Do not stretch them into cross-functional-team or leadership evidence.</w:t>
            </w:r>
          </w:p>
        </w:tc>
      </w:tr>
    </w:tbl>
    <w:p>
      <w:pPr>
        <w:pStyle w:val="Heading2"/>
        <w:keepNext/>
      </w:pPr>
      <w:r>
        <w:t>GPO6</w:t>
      </w:r>
    </w:p>
    <w:p>
      <w:pPr>
        <w:pStyle w:val="SmallNote"/>
      </w:pPr>
      <w:r>
        <w:t>Integrate cultural, ethical and sustainable practice consistent with Information Technology codes of conduct and informed by the principles of Te Tiriti o Waitangi.</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c>
          <w:tcPr>
            <w:tcW w:type="dxa" w:w="2268"/>
            <w:tcMar>
              <w:top w:w="60" w:type="dxa"/>
              <w:start w:w="70" w:type="dxa"/>
              <w:bottom w:w="60" w:type="dxa"/>
              <w:end w:w="70" w:type="dxa"/>
            </w:tcMar>
            <w:shd w:fill="D9EAF7"/>
          </w:tcPr>
          <w:p>
            <w:r>
              <w:rPr>
                <w:b/>
                <w:sz w:val="17"/>
              </w:rPr>
              <w:t>Sufficiency</w:t>
            </w:r>
          </w:p>
        </w:tc>
        <w:tc>
          <w:tcPr>
            <w:tcW w:type="dxa" w:w="7824"/>
            <w:tcMar>
              <w:top w:w="60" w:type="dxa"/>
              <w:start w:w="70" w:type="dxa"/>
              <w:bottom w:w="60" w:type="dxa"/>
              <w:end w:w="70" w:type="dxa"/>
            </w:tcMar>
            <w:shd w:fill="D9EAF7"/>
          </w:tcPr>
          <w:p>
            <w:r>
              <w:rPr>
                <w:sz w:val="17"/>
              </w:rPr>
              <w:t>My position</w:t>
            </w:r>
          </w:p>
        </w:tc>
      </w:tr>
      <w:tr>
        <w:tc>
          <w:tcPr>
            <w:tcW w:type="dxa" w:w="2268"/>
            <w:tcMar>
              <w:top w:w="60" w:type="dxa"/>
              <w:start w:w="70" w:type="dxa"/>
              <w:bottom w:w="60" w:type="dxa"/>
              <w:end w:w="70" w:type="dxa"/>
            </w:tcMar>
          </w:tcPr>
          <w:p>
            <w:r>
              <w:rPr>
                <w:b/>
                <w:sz w:val="17"/>
              </w:rPr>
              <w:t>Strongest current evidence</w:t>
            </w:r>
          </w:p>
        </w:tc>
        <w:tc>
          <w:tcPr>
            <w:tcW w:type="dxa" w:w="7824"/>
            <w:tcMar>
              <w:top w:w="60" w:type="dxa"/>
              <w:start w:w="70" w:type="dxa"/>
              <w:bottom w:w="60" w:type="dxa"/>
              <w:end w:w="70" w:type="dxa"/>
            </w:tcMar>
          </w:tcPr>
          <w:p>
            <w:r>
              <w:rPr>
                <w:sz w:val="17"/>
              </w:rPr>
              <w:t>E6-14 organises the ethical and sustainability cases; E6-01, E6-03–E6-07, E6-10, E6-12 and E6-18 support local control, integrity, restraint, maintainability, responsible resource use and user-responsive design.</w:t>
            </w:r>
          </w:p>
        </w:tc>
      </w:tr>
      <w:tr>
        <w:tc>
          <w:tcPr>
            <w:tcW w:type="dxa" w:w="2268"/>
            <w:tcMar>
              <w:top w:w="60" w:type="dxa"/>
              <w:start w:w="70" w:type="dxa"/>
              <w:bottom w:w="60" w:type="dxa"/>
              <w:end w:w="70" w:type="dxa"/>
            </w:tcMar>
          </w:tcPr>
          <w:p>
            <w:r>
              <w:rPr>
                <w:b/>
                <w:sz w:val="17"/>
              </w:rPr>
              <w:t>Weak or missing</w:t>
            </w:r>
          </w:p>
        </w:tc>
        <w:tc>
          <w:tcPr>
            <w:tcW w:type="dxa" w:w="7824"/>
            <w:tcMar>
              <w:top w:w="60" w:type="dxa"/>
              <w:start w:w="70" w:type="dxa"/>
              <w:bottom w:w="60" w:type="dxa"/>
              <w:end w:w="70" w:type="dxa"/>
            </w:tcMar>
          </w:tcPr>
          <w:p>
            <w:r>
              <w:rPr>
                <w:sz w:val="17"/>
              </w:rPr>
              <w:t>Cultural practice, Te Tiriti application and professional-code connections still need to be supported from the wider portfolio. Energy savings, accessibility outcomes and cultural validation are not established by technical design or generic usability sessions alone.</w:t>
            </w:r>
          </w:p>
        </w:tc>
      </w:tr>
      <w:tr>
        <w:tc>
          <w:tcPr>
            <w:tcW w:type="dxa" w:w="2268"/>
            <w:tcMar>
              <w:top w:w="60" w:type="dxa"/>
              <w:start w:w="70" w:type="dxa"/>
              <w:bottom w:w="60" w:type="dxa"/>
              <w:end w:w="70" w:type="dxa"/>
            </w:tcMar>
          </w:tcPr>
          <w:p>
            <w:r>
              <w:rPr>
                <w:b/>
                <w:sz w:val="17"/>
              </w:rPr>
              <w:t>Next action and limit</w:t>
            </w:r>
          </w:p>
        </w:tc>
        <w:tc>
          <w:tcPr>
            <w:tcW w:type="dxa" w:w="7824"/>
            <w:tcMar>
              <w:top w:w="60" w:type="dxa"/>
              <w:start w:w="70" w:type="dxa"/>
              <w:bottom w:w="60" w:type="dxa"/>
              <w:end w:w="70" w:type="dxa"/>
            </w:tcMar>
          </w:tcPr>
          <w:p>
            <w:r>
              <w:rPr>
                <w:sz w:val="17"/>
              </w:rPr>
              <w:t>Use concrete decisions, consequences and authentic evidence where relevant. Do not infer Māori or cultural validation from P001/P002, and do not manufacture consultation that did not occur.</w:t>
            </w:r>
          </w:p>
        </w:tc>
      </w:tr>
    </w:tbl>
    <w:p>
      <w:r>
        <w:br w:type="page"/>
      </w:r>
    </w:p>
    <w:p>
      <w:pPr>
        <w:pStyle w:val="Heading1"/>
        <w:keepNext/>
      </w:pPr>
      <w:r>
        <w:t>6. Remaining evidence and completion boundaries</w:t>
      </w:r>
    </w:p>
    <w:p>
      <w:r>
        <w:t>The remaining work is no longer a general evidence-gathering phase. The project now has a stable technical baseline and two retained stakeholder sessions. The remaining items are either final bounded partial results or portfolio/document integration work.</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5111"/>
        <w:gridCol w:w="5111"/>
      </w:tblGrid>
      <w:tr>
        <w:trPr>
          <w:tblHeader w:val="true"/>
        </w:trPr>
        <w:tc>
          <w:tcPr>
            <w:tcW w:type="dxa" w:w="5111"/>
            <w:shd w:fill="D9EAF7"/>
          </w:tcPr>
          <w:p>
            <w:r>
              <w:rPr>
                <w:b/>
              </w:rPr>
              <w:t>Item</w:t>
            </w:r>
          </w:p>
        </w:tc>
        <w:tc>
          <w:tcPr>
            <w:tcW w:type="dxa" w:w="5111"/>
            <w:shd w:fill="D9EAF7"/>
          </w:tcPr>
          <w:p>
            <w:r>
              <w:rPr>
                <w:b/>
              </w:rPr>
              <w:t>Current completion boundary</w:t>
            </w:r>
          </w:p>
        </w:tc>
      </w:tr>
      <w:tr>
        <w:tc>
          <w:tcPr>
            <w:tcW w:type="dxa" w:w="2381"/>
            <w:tcMar>
              <w:top w:w="60" w:type="dxa"/>
              <w:start w:w="70" w:type="dxa"/>
              <w:bottom w:w="60" w:type="dxa"/>
              <w:end w:w="70" w:type="dxa"/>
            </w:tcMar>
          </w:tcPr>
          <w:p>
            <w:r>
              <w:rPr>
                <w:sz w:val="17"/>
              </w:rPr>
              <w:t>T01 physical sensing</w:t>
            </w:r>
          </w:p>
        </w:tc>
        <w:tc>
          <w:tcPr>
            <w:tcW w:type="dxa" w:w="7711"/>
            <w:tcMar>
              <w:top w:w="60" w:type="dxa"/>
              <w:start w:w="70" w:type="dxa"/>
              <w:bottom w:w="60" w:type="dxa"/>
              <w:end w:w="70" w:type="dxa"/>
            </w:tcMar>
          </w:tcPr>
          <w:p>
            <w:r>
              <w:rPr>
                <w:sz w:val="17"/>
              </w:rPr>
              <w:t>PARTIAL at 1/6 remains the final physical result for the current capstone. Two physical nodes operate, but only the XC4604 soil-moisture measurement type has accepted physical evidence. Do not buy hardware simply to make the table look complete.</w:t>
            </w:r>
          </w:p>
        </w:tc>
      </w:tr>
      <w:tr>
        <w:tc>
          <w:tcPr>
            <w:tcW w:type="dxa" w:w="2381"/>
            <w:tcMar>
              <w:top w:w="60" w:type="dxa"/>
              <w:start w:w="70" w:type="dxa"/>
              <w:bottom w:w="60" w:type="dxa"/>
              <w:end w:w="70" w:type="dxa"/>
            </w:tcMar>
          </w:tcPr>
          <w:p>
            <w:r>
              <w:rPr>
                <w:sz w:val="17"/>
              </w:rPr>
              <w:t>E6-11 comparative usability</w:t>
            </w:r>
          </w:p>
        </w:tc>
        <w:tc>
          <w:tcPr>
            <w:tcW w:type="dxa" w:w="7711"/>
            <w:tcMar>
              <w:top w:w="60" w:type="dxa"/>
              <w:start w:w="70" w:type="dxa"/>
              <w:bottom w:w="60" w:type="dxa"/>
              <w:end w:w="70" w:type="dxa"/>
            </w:tcMar>
          </w:tcPr>
          <w:p>
            <w:r>
              <w:rPr>
                <w:sz w:val="17"/>
              </w:rPr>
              <w:t>PARTIAL remains the final usability-comparison result. Two real sessions produced useful qualitative evidence, but the controlled six-task fixed-versus-Ask repeat and complete timing data were not obtained. Do not reconstruct timings or claim superiority.</w:t>
            </w:r>
          </w:p>
        </w:tc>
      </w:tr>
      <w:tr>
        <w:tc>
          <w:tcPr>
            <w:tcW w:type="dxa" w:w="2381"/>
            <w:tcMar>
              <w:top w:w="60" w:type="dxa"/>
              <w:start w:w="70" w:type="dxa"/>
              <w:bottom w:w="60" w:type="dxa"/>
              <w:end w:w="70" w:type="dxa"/>
            </w:tcMar>
          </w:tcPr>
          <w:p>
            <w:r>
              <w:rPr>
                <w:sz w:val="17"/>
              </w:rPr>
              <w:t>E6-14 VESCAS / GPO6 boundary</w:t>
            </w:r>
          </w:p>
        </w:tc>
        <w:tc>
          <w:tcPr>
            <w:tcW w:type="dxa" w:w="7711"/>
            <w:tcMar>
              <w:top w:w="60" w:type="dxa"/>
              <w:start w:w="70" w:type="dxa"/>
              <w:bottom w:w="60" w:type="dxa"/>
              <w:end w:w="70" w:type="dxa"/>
            </w:tcMar>
          </w:tcPr>
          <w:p>
            <w:r>
              <w:rPr>
                <w:sz w:val="17"/>
              </w:rPr>
              <w:t>Technical ethical and sustainability cases are strong, but generic usability evidence does not create Māori, Te Tiriti or cultural validation. The wider portfolio must carry the relevant cultural/professional evidence.</w:t>
            </w:r>
          </w:p>
        </w:tc>
      </w:tr>
      <w:tr>
        <w:tc>
          <w:tcPr>
            <w:tcW w:type="dxa" w:w="2381"/>
            <w:tcMar>
              <w:top w:w="60" w:type="dxa"/>
              <w:start w:w="70" w:type="dxa"/>
              <w:bottom w:w="60" w:type="dxa"/>
              <w:end w:w="70" w:type="dxa"/>
            </w:tcMar>
          </w:tcPr>
          <w:p>
            <w:r>
              <w:rPr>
                <w:sz w:val="17"/>
              </w:rPr>
              <w:t>E6-15 changed practice</w:t>
            </w:r>
          </w:p>
        </w:tc>
        <w:tc>
          <w:tcPr>
            <w:tcW w:type="dxa" w:w="7711"/>
            <w:tcMar>
              <w:top w:w="60" w:type="dxa"/>
              <w:start w:w="70" w:type="dxa"/>
              <w:bottom w:w="60" w:type="dxa"/>
              <w:end w:w="70" w:type="dxa"/>
            </w:tcMar>
          </w:tcPr>
          <w:p>
            <w:r>
              <w:rPr>
                <w:sz w:val="17"/>
              </w:rPr>
              <w:t>The evidence is already strong; this remains PARTIAL only until the final LT6 narrative clearly connects prior practice, new learning, changed action and observed result.</w:t>
            </w:r>
          </w:p>
        </w:tc>
      </w:tr>
      <w:tr>
        <w:tc>
          <w:tcPr>
            <w:tcW w:type="dxa" w:w="2381"/>
            <w:tcMar>
              <w:top w:w="60" w:type="dxa"/>
              <w:start w:w="70" w:type="dxa"/>
              <w:bottom w:w="60" w:type="dxa"/>
              <w:end w:w="70" w:type="dxa"/>
            </w:tcMar>
          </w:tcPr>
          <w:p>
            <w:r>
              <w:rPr>
                <w:sz w:val="17"/>
              </w:rPr>
              <w:t>E6-16 SFIA/LT4 refresh</w:t>
            </w:r>
          </w:p>
        </w:tc>
        <w:tc>
          <w:tcPr>
            <w:tcW w:type="dxa" w:w="7711"/>
            <w:tcMar>
              <w:top w:w="60" w:type="dxa"/>
              <w:start w:w="70" w:type="dxa"/>
              <w:bottom w:w="60" w:type="dxa"/>
              <w:end w:w="70" w:type="dxa"/>
            </w:tcMar>
          </w:tcPr>
          <w:p>
            <w:r>
              <w:rPr>
                <w:sz w:val="17"/>
              </w:rPr>
              <w:t>Deliberately PLANNED for the later Learning Task 4 update after LT6 is stable. Do not create a competing Task 6 SFIA assessment.</w:t>
            </w:r>
          </w:p>
        </w:tc>
      </w:tr>
      <w:tr>
        <w:tc>
          <w:tcPr>
            <w:tcW w:type="dxa" w:w="2381"/>
            <w:tcMar>
              <w:top w:w="60" w:type="dxa"/>
              <w:start w:w="70" w:type="dxa"/>
              <w:bottom w:w="60" w:type="dxa"/>
              <w:end w:w="70" w:type="dxa"/>
            </w:tcMar>
          </w:tcPr>
          <w:p>
            <w:r>
              <w:rPr>
                <w:sz w:val="17"/>
              </w:rPr>
              <w:t>E6-17 optional confirmation</w:t>
            </w:r>
          </w:p>
        </w:tc>
        <w:tc>
          <w:tcPr>
            <w:tcW w:type="dxa" w:w="7711"/>
            <w:tcMar>
              <w:top w:w="60" w:type="dxa"/>
              <w:start w:w="70" w:type="dxa"/>
              <w:bottom w:w="60" w:type="dxa"/>
              <w:end w:w="70" w:type="dxa"/>
            </w:tcMar>
          </w:tcPr>
          <w:p>
            <w:r>
              <w:rPr>
                <w:sz w:val="17"/>
              </w:rPr>
              <w:t>NOT REQUIRED. No Task 6 or GPO completion claim relies on facilitator or external confirmation, so this must not be reintroduced as an artificial open gap.</w:t>
            </w:r>
          </w:p>
        </w:tc>
      </w:tr>
    </w:tbl>
    <w:p>
      <w:pPr>
        <w:pStyle w:val="Heading2"/>
        <w:keepNext/>
      </w:pPr>
      <w:r>
        <w:t>6.1 What must not be carried forward as a claim</w:t>
      </w:r>
    </w:p>
    <w:p>
      <w:pPr>
        <w:pStyle w:val="ListBullet"/>
      </w:pPr>
      <w:r>
        <w:t>Two physical ESP32-S3 nodes do not mean six physical measurement types have been accepted.</w:t>
      </w:r>
    </w:p>
    <w:p>
      <w:pPr>
        <w:pStyle w:val="ListBullet"/>
      </w:pPr>
      <w:r>
        <w:t>Simulation, automated tests or a working database path do not become physical sensor evidence.</w:t>
      </w:r>
    </w:p>
    <w:p>
      <w:pPr>
        <w:pStyle w:val="ListBullet"/>
      </w:pPr>
      <w:r>
        <w:t>Two participants do not establish population-level farmer or non-technical-user validation.</w:t>
      </w:r>
    </w:p>
    <w:p>
      <w:pPr>
        <w:pStyle w:val="ListBullet"/>
      </w:pPr>
      <w:r>
        <w:t>The stakeholder sessions do not show that Ask FarmPi is objectively faster or better than the fixed interface, or vice versa.</w:t>
      </w:r>
    </w:p>
    <w:p>
      <w:pPr>
        <w:pStyle w:val="ListBullet"/>
      </w:pPr>
      <w:r>
        <w:t>The failed provenance/trust question does not show that provenance increases or decreases trust.</w:t>
      </w:r>
    </w:p>
    <w:p>
      <w:pPr>
        <w:pStyle w:val="ListBullet"/>
      </w:pPr>
      <w:r>
        <w:t>Local/offline operation does not by itself prove privacy compliance, accessibility, sustainability, cultural practice or Te Tiriti application.</w:t>
      </w:r>
    </w:p>
    <w:p>
      <w:pPr>
        <w:pStyle w:val="ListBullet"/>
      </w:pPr>
      <w:r>
        <w:t>AI collaboration is not a diverse human IT team and does not substitute for the wider portfolio evidence needed for the full GPO5 claim.</w:t>
      </w:r>
    </w:p>
    <w:p>
      <w:r>
        <w:br w:type="page"/>
      </w:r>
    </w:p>
    <w:p>
      <w:pPr>
        <w:pStyle w:val="Heading1"/>
        <w:keepNext/>
      </w:pPr>
      <w:r>
        <w:t>7. Source register and review boundaries</w:t>
      </w:r>
    </w:p>
    <w:p>
      <w:r>
        <w:t>This register contains the programme and project artifacts used to control the mapping. Where a source is historical or stale, that boundary is stated rather than silently replacing the earlier record.</w:t>
      </w:r>
    </w:p>
    <w:tbl>
      <w:tblPr>
        <w:tblW w:type="auto" w:w="0"/>
        <w:jc w:val="center"/>
        <w:tblLook w:firstColumn="1" w:firstRow="1" w:lastColumn="0" w:lastRow="0" w:noHBand="0" w:noVBand="1" w:val="04A0"/>
        <w:tblBorders>
          <w:top w:val="single" w:sz="5" w:space="0" w:color="B8C4CE"/>
          <w:left w:val="single" w:sz="5" w:space="0" w:color="B8C4CE"/>
          <w:bottom w:val="single" w:sz="5" w:space="0" w:color="B8C4CE"/>
          <w:right w:val="single" w:sz="5" w:space="0" w:color="B8C4CE"/>
          <w:insideH w:val="single" w:sz="5" w:space="0" w:color="B8C4CE"/>
          <w:insideV w:val="single" w:sz="5" w:space="0" w:color="B8C4CE"/>
        </w:tblBorders>
      </w:tblPr>
      <w:tblGrid>
        <w:gridCol w:w="3407"/>
        <w:gridCol w:w="3407"/>
        <w:gridCol w:w="3407"/>
      </w:tblGrid>
      <w:tr>
        <w:trPr>
          <w:tblHeader w:val="true"/>
        </w:trPr>
        <w:tc>
          <w:tcPr>
            <w:tcW w:type="dxa" w:w="3407"/>
            <w:shd w:fill="D9EAF7"/>
          </w:tcPr>
          <w:p>
            <w:r>
              <w:rPr>
                <w:b/>
              </w:rPr>
              <w:t>Source</w:t>
            </w:r>
          </w:p>
        </w:tc>
        <w:tc>
          <w:tcPr>
            <w:tcW w:type="dxa" w:w="3407"/>
            <w:shd w:fill="D9EAF7"/>
          </w:tcPr>
          <w:p>
            <w:r>
              <w:rPr>
                <w:b/>
              </w:rPr>
              <w:t>Document</w:t>
            </w:r>
          </w:p>
        </w:tc>
        <w:tc>
          <w:tcPr>
            <w:tcW w:type="dxa" w:w="3407"/>
            <w:shd w:fill="D9EAF7"/>
          </w:tcPr>
          <w:p>
            <w:r>
              <w:rPr>
                <w:b/>
              </w:rPr>
              <w:t>How I use it / boundary</w:t>
            </w:r>
          </w:p>
        </w:tc>
      </w:tr>
      <w:tr>
        <w:tc>
          <w:tcPr>
            <w:tcW w:type="dxa" w:w="680"/>
            <w:tcMar>
              <w:top w:w="60" w:type="dxa"/>
              <w:start w:w="70" w:type="dxa"/>
              <w:bottom w:w="60" w:type="dxa"/>
              <w:end w:w="70" w:type="dxa"/>
            </w:tcMar>
          </w:tcPr>
          <w:p>
            <w:r>
              <w:rPr>
                <w:sz w:val="16"/>
              </w:rPr>
              <w:t>S1</w:t>
            </w:r>
          </w:p>
        </w:tc>
        <w:tc>
          <w:tcPr>
            <w:tcW w:type="dxa" w:w="3231"/>
            <w:tcMar>
              <w:top w:w="60" w:type="dxa"/>
              <w:start w:w="70" w:type="dxa"/>
              <w:bottom w:w="60" w:type="dxa"/>
              <w:end w:w="70" w:type="dxa"/>
            </w:tcMar>
          </w:tcPr>
          <w:p>
            <w:r>
              <w:rPr>
                <w:sz w:val="16"/>
              </w:rPr>
              <w:t>BIT Learner Guide 2026 v2.0Aa</w:t>
            </w:r>
          </w:p>
        </w:tc>
        <w:tc>
          <w:tcPr>
            <w:tcW w:type="dxa" w:w="6180"/>
            <w:tcMar>
              <w:top w:w="60" w:type="dxa"/>
              <w:start w:w="70" w:type="dxa"/>
              <w:bottom w:w="60" w:type="dxa"/>
              <w:end w:w="70" w:type="dxa"/>
            </w:tcMar>
          </w:tcPr>
          <w:p>
            <w:r>
              <w:rPr>
                <w:sz w:val="16"/>
              </w:rPr>
              <w:t>Programme authority for the six GPOs, Learning Task 6 expectations, and the requirement to show new learning applied in practice.</w:t>
            </w:r>
          </w:p>
        </w:tc>
      </w:tr>
      <w:tr>
        <w:tc>
          <w:tcPr>
            <w:tcW w:type="dxa" w:w="680"/>
            <w:tcMar>
              <w:top w:w="60" w:type="dxa"/>
              <w:start w:w="70" w:type="dxa"/>
              <w:bottom w:w="60" w:type="dxa"/>
              <w:end w:w="70" w:type="dxa"/>
            </w:tcMar>
          </w:tcPr>
          <w:p>
            <w:r>
              <w:rPr>
                <w:sz w:val="16"/>
              </w:rPr>
              <w:t>S2</w:t>
            </w:r>
          </w:p>
        </w:tc>
        <w:tc>
          <w:tcPr>
            <w:tcW w:type="dxa" w:w="3231"/>
            <w:tcMar>
              <w:top w:w="60" w:type="dxa"/>
              <w:start w:w="70" w:type="dxa"/>
              <w:bottom w:w="60" w:type="dxa"/>
              <w:end w:w="70" w:type="dxa"/>
            </w:tcMar>
          </w:tcPr>
          <w:p>
            <w:r>
              <w:rPr>
                <w:sz w:val="16"/>
              </w:rPr>
              <w:t>Learning Task 4 - Final Draft</w:t>
            </w:r>
          </w:p>
        </w:tc>
        <w:tc>
          <w:tcPr>
            <w:tcW w:type="dxa" w:w="6180"/>
            <w:tcMar>
              <w:top w:w="60" w:type="dxa"/>
              <w:start w:w="70" w:type="dxa"/>
              <w:bottom w:w="60" w:type="dxa"/>
              <w:end w:w="70" w:type="dxa"/>
            </w:tcMar>
          </w:tcPr>
          <w:p>
            <w:r>
              <w:rPr>
                <w:sz w:val="16"/>
              </w:rPr>
              <w:t>Prior capability, current GPO/SFIA self-assessment and the baseline that will be refreshed after Task 6 is stable.</w:t>
            </w:r>
          </w:p>
        </w:tc>
      </w:tr>
      <w:tr>
        <w:tc>
          <w:tcPr>
            <w:tcW w:type="dxa" w:w="680"/>
            <w:tcMar>
              <w:top w:w="60" w:type="dxa"/>
              <w:start w:w="70" w:type="dxa"/>
              <w:bottom w:w="60" w:type="dxa"/>
              <w:end w:w="70" w:type="dxa"/>
            </w:tcMar>
          </w:tcPr>
          <w:p>
            <w:r>
              <w:rPr>
                <w:sz w:val="16"/>
              </w:rPr>
              <w:t>S3</w:t>
            </w:r>
          </w:p>
        </w:tc>
        <w:tc>
          <w:tcPr>
            <w:tcW w:type="dxa" w:w="3231"/>
            <w:tcMar>
              <w:top w:w="60" w:type="dxa"/>
              <w:start w:w="70" w:type="dxa"/>
              <w:bottom w:w="60" w:type="dxa"/>
              <w:end w:w="70" w:type="dxa"/>
            </w:tcMar>
          </w:tcPr>
          <w:p>
            <w:r>
              <w:rPr>
                <w:sz w:val="16"/>
              </w:rPr>
              <w:t>Learning Task 5 - Final Draft</w:t>
            </w:r>
          </w:p>
        </w:tc>
        <w:tc>
          <w:tcPr>
            <w:tcW w:type="dxa" w:w="6180"/>
            <w:tcMar>
              <w:top w:w="60" w:type="dxa"/>
              <w:start w:w="70" w:type="dxa"/>
              <w:bottom w:w="60" w:type="dxa"/>
              <w:end w:w="70" w:type="dxa"/>
            </w:tcMar>
          </w:tcPr>
          <w:p>
            <w:r>
              <w:rPr>
                <w:sz w:val="16"/>
              </w:rPr>
              <w:t>New learning intended to be applied in Task 6, including contemporary application development, AI/data-science practice and the user's own model of professional practice.</w:t>
            </w:r>
          </w:p>
        </w:tc>
      </w:tr>
      <w:tr>
        <w:tc>
          <w:tcPr>
            <w:tcW w:type="dxa" w:w="680"/>
            <w:tcMar>
              <w:top w:w="60" w:type="dxa"/>
              <w:start w:w="70" w:type="dxa"/>
              <w:bottom w:w="60" w:type="dxa"/>
              <w:end w:w="70" w:type="dxa"/>
            </w:tcMar>
          </w:tcPr>
          <w:p>
            <w:r>
              <w:rPr>
                <w:sz w:val="16"/>
              </w:rPr>
              <w:t>S4</w:t>
            </w:r>
          </w:p>
        </w:tc>
        <w:tc>
          <w:tcPr>
            <w:tcW w:type="dxa" w:w="3231"/>
            <w:tcMar>
              <w:top w:w="60" w:type="dxa"/>
              <w:start w:w="70" w:type="dxa"/>
              <w:bottom w:w="60" w:type="dxa"/>
              <w:end w:w="70" w:type="dxa"/>
            </w:tcMar>
          </w:tcPr>
          <w:p>
            <w:r>
              <w:rPr>
                <w:sz w:val="16"/>
              </w:rPr>
              <w:t>LT6 Capstone Brief v1.1</w:t>
            </w:r>
          </w:p>
        </w:tc>
        <w:tc>
          <w:tcPr>
            <w:tcW w:type="dxa" w:w="6180"/>
            <w:tcMar>
              <w:top w:w="60" w:type="dxa"/>
              <w:start w:w="70" w:type="dxa"/>
              <w:bottom w:w="60" w:type="dxa"/>
              <w:end w:w="70" w:type="dxa"/>
            </w:tcMar>
          </w:tcPr>
          <w:p>
            <w:r>
              <w:rPr>
                <w:sz w:val="16"/>
              </w:rPr>
              <w:t>Current capstone purpose, elective focus, in/out-of-scope boundary and completion framing.</w:t>
            </w:r>
          </w:p>
        </w:tc>
      </w:tr>
      <w:tr>
        <w:tc>
          <w:tcPr>
            <w:tcW w:type="dxa" w:w="680"/>
            <w:tcMar>
              <w:top w:w="60" w:type="dxa"/>
              <w:start w:w="70" w:type="dxa"/>
              <w:bottom w:w="60" w:type="dxa"/>
              <w:end w:w="70" w:type="dxa"/>
            </w:tcMar>
          </w:tcPr>
          <w:p>
            <w:r>
              <w:rPr>
                <w:sz w:val="16"/>
              </w:rPr>
              <w:t>S5</w:t>
            </w:r>
          </w:p>
        </w:tc>
        <w:tc>
          <w:tcPr>
            <w:tcW w:type="dxa" w:w="3231"/>
            <w:tcMar>
              <w:top w:w="60" w:type="dxa"/>
              <w:start w:w="70" w:type="dxa"/>
              <w:bottom w:w="60" w:type="dxa"/>
              <w:end w:w="70" w:type="dxa"/>
            </w:tcMar>
          </w:tcPr>
          <w:p>
            <w:r>
              <w:rPr>
                <w:sz w:val="16"/>
              </w:rPr>
              <w:t>LT6 FarmPi Needs and Requirements v1.4</w:t>
            </w:r>
          </w:p>
        </w:tc>
        <w:tc>
          <w:tcPr>
            <w:tcW w:type="dxa" w:w="6180"/>
            <w:tcMar>
              <w:top w:w="60" w:type="dxa"/>
              <w:start w:w="70" w:type="dxa"/>
              <w:bottom w:w="60" w:type="dxa"/>
              <w:end w:w="70" w:type="dxa"/>
            </w:tcMar>
          </w:tcPr>
          <w:p>
            <w:r>
              <w:rPr>
                <w:sz w:val="16"/>
              </w:rPr>
              <w:t>Current user needs, active FR/NFR requirements, deferred FR06/FR07/T04 scope, practical checks and traceability.</w:t>
            </w:r>
          </w:p>
        </w:tc>
      </w:tr>
      <w:tr>
        <w:tc>
          <w:tcPr>
            <w:tcW w:type="dxa" w:w="680"/>
            <w:tcMar>
              <w:top w:w="60" w:type="dxa"/>
              <w:start w:w="70" w:type="dxa"/>
              <w:bottom w:w="60" w:type="dxa"/>
              <w:end w:w="70" w:type="dxa"/>
            </w:tcMar>
          </w:tcPr>
          <w:p>
            <w:r>
              <w:rPr>
                <w:sz w:val="16"/>
              </w:rPr>
              <w:t>S6</w:t>
            </w:r>
          </w:p>
        </w:tc>
        <w:tc>
          <w:tcPr>
            <w:tcW w:type="dxa" w:w="3231"/>
            <w:tcMar>
              <w:top w:w="60" w:type="dxa"/>
              <w:start w:w="70" w:type="dxa"/>
              <w:bottom w:w="60" w:type="dxa"/>
              <w:end w:w="70" w:type="dxa"/>
            </w:tcMar>
          </w:tcPr>
          <w:p>
            <w:r>
              <w:rPr>
                <w:sz w:val="16"/>
              </w:rPr>
              <w:t>FarmPi Prototyping Canvas v1.4</w:t>
            </w:r>
          </w:p>
        </w:tc>
        <w:tc>
          <w:tcPr>
            <w:tcW w:type="dxa" w:w="6180"/>
            <w:tcMar>
              <w:top w:w="60" w:type="dxa"/>
              <w:start w:w="70" w:type="dxa"/>
              <w:bottom w:w="60" w:type="dxa"/>
              <w:end w:w="70" w:type="dxa"/>
            </w:tcMar>
          </w:tcPr>
          <w:p>
            <w:r>
              <w:rPr>
                <w:sz w:val="16"/>
              </w:rPr>
              <w:t>Pre-test purposeful-prototyping baseline and critical user question. It remains historical planning evidence rather than being rewritten after participant testing.</w:t>
            </w:r>
          </w:p>
        </w:tc>
      </w:tr>
      <w:tr>
        <w:tc>
          <w:tcPr>
            <w:tcW w:type="dxa" w:w="680"/>
            <w:tcMar>
              <w:top w:w="60" w:type="dxa"/>
              <w:start w:w="70" w:type="dxa"/>
              <w:bottom w:w="60" w:type="dxa"/>
              <w:end w:w="70" w:type="dxa"/>
            </w:tcMar>
          </w:tcPr>
          <w:p>
            <w:r>
              <w:rPr>
                <w:sz w:val="16"/>
              </w:rPr>
              <w:t>S7</w:t>
            </w:r>
          </w:p>
        </w:tc>
        <w:tc>
          <w:tcPr>
            <w:tcW w:type="dxa" w:w="3231"/>
            <w:tcMar>
              <w:top w:w="60" w:type="dxa"/>
              <w:start w:w="70" w:type="dxa"/>
              <w:bottom w:w="60" w:type="dxa"/>
              <w:end w:w="70" w:type="dxa"/>
            </w:tcMar>
          </w:tcPr>
          <w:p>
            <w:r>
              <w:rPr>
                <w:sz w:val="16"/>
              </w:rPr>
              <w:t>FarmPi repository - current main 2e89ce3 and retained docs/evidence</w:t>
            </w:r>
          </w:p>
        </w:tc>
        <w:tc>
          <w:tcPr>
            <w:tcW w:type="dxa" w:w="6180"/>
            <w:tcMar>
              <w:top w:w="60" w:type="dxa"/>
              <w:start w:w="70" w:type="dxa"/>
              <w:bottom w:w="60" w:type="dxa"/>
              <w:end w:w="70" w:type="dxa"/>
            </w:tcMar>
          </w:tcPr>
          <w:p>
            <w:r>
              <w:rPr>
                <w:sz w:val="16"/>
              </w:rPr>
              <w:t>Implementation, PR/commit history, physical-probe evidence, T05 evidence, accepted T02/T03/T07 states, PR #49 acceptance consolidation and PRs #53/#54 calibration/documentation reconciliation.</w:t>
            </w:r>
          </w:p>
        </w:tc>
      </w:tr>
      <w:tr>
        <w:tc>
          <w:tcPr>
            <w:tcW w:type="dxa" w:w="680"/>
            <w:tcMar>
              <w:top w:w="60" w:type="dxa"/>
              <w:start w:w="70" w:type="dxa"/>
              <w:bottom w:w="60" w:type="dxa"/>
              <w:end w:w="70" w:type="dxa"/>
            </w:tcMar>
          </w:tcPr>
          <w:p>
            <w:r>
              <w:rPr>
                <w:sz w:val="16"/>
              </w:rPr>
              <w:t>S8</w:t>
            </w:r>
          </w:p>
        </w:tc>
        <w:tc>
          <w:tcPr>
            <w:tcW w:type="dxa" w:w="3231"/>
            <w:tcMar>
              <w:top w:w="60" w:type="dxa"/>
              <w:start w:w="70" w:type="dxa"/>
              <w:bottom w:w="60" w:type="dxa"/>
              <w:end w:w="70" w:type="dxa"/>
            </w:tcMar>
          </w:tcPr>
          <w:p>
            <w:r>
              <w:rPr>
                <w:sz w:val="16"/>
              </w:rPr>
              <w:t>Task 6 AI Collaboration Evidence v0.3</w:t>
            </w:r>
          </w:p>
        </w:tc>
        <w:tc>
          <w:tcPr>
            <w:tcW w:type="dxa" w:w="6180"/>
            <w:tcMar>
              <w:top w:w="60" w:type="dxa"/>
              <w:start w:w="70" w:type="dxa"/>
              <w:bottom w:w="60" w:type="dxa"/>
              <w:end w:w="70" w:type="dxa"/>
            </w:tcMar>
          </w:tcPr>
          <w:p>
            <w:r>
              <w:rPr>
                <w:sz w:val="16"/>
              </w:rPr>
              <w:t>Decision cases showing where AI proposals were accepted, challenged, simplified, redirected or rejected while project responsibility remained with Jeremy.</w:t>
            </w:r>
          </w:p>
        </w:tc>
      </w:tr>
      <w:tr>
        <w:tc>
          <w:tcPr>
            <w:tcW w:type="dxa" w:w="680"/>
            <w:tcMar>
              <w:top w:w="60" w:type="dxa"/>
              <w:start w:w="70" w:type="dxa"/>
              <w:bottom w:w="60" w:type="dxa"/>
              <w:end w:w="70" w:type="dxa"/>
            </w:tcMar>
          </w:tcPr>
          <w:p>
            <w:r>
              <w:rPr>
                <w:sz w:val="16"/>
              </w:rPr>
              <w:t>S9</w:t>
            </w:r>
          </w:p>
        </w:tc>
        <w:tc>
          <w:tcPr>
            <w:tcW w:type="dxa" w:w="3231"/>
            <w:tcMar>
              <w:top w:w="60" w:type="dxa"/>
              <w:start w:w="70" w:type="dxa"/>
              <w:bottom w:w="60" w:type="dxa"/>
              <w:end w:w="70" w:type="dxa"/>
            </w:tcMar>
          </w:tcPr>
          <w:p>
            <w:r>
              <w:rPr>
                <w:sz w:val="16"/>
              </w:rPr>
              <w:t>Task 6 Evidence Sufficiency Control v0.7</w:t>
            </w:r>
          </w:p>
        </w:tc>
        <w:tc>
          <w:tcPr>
            <w:tcW w:type="dxa" w:w="6180"/>
            <w:tcMar>
              <w:top w:w="60" w:type="dxa"/>
              <w:start w:w="70" w:type="dxa"/>
              <w:bottom w:w="60" w:type="dxa"/>
              <w:end w:w="70" w:type="dxa"/>
            </w:tcMar>
          </w:tcPr>
          <w:p>
            <w:r>
              <w:rPr>
                <w:sz w:val="16"/>
              </w:rPr>
              <w:t>Current evidence-state authority for Task 6 after technical reconciliation and the two stakeholder sessions.</w:t>
            </w:r>
          </w:p>
        </w:tc>
      </w:tr>
      <w:tr>
        <w:tc>
          <w:tcPr>
            <w:tcW w:type="dxa" w:w="680"/>
            <w:tcMar>
              <w:top w:w="60" w:type="dxa"/>
              <w:start w:w="70" w:type="dxa"/>
              <w:bottom w:w="60" w:type="dxa"/>
              <w:end w:w="70" w:type="dxa"/>
            </w:tcMar>
          </w:tcPr>
          <w:p>
            <w:r>
              <w:rPr>
                <w:sz w:val="16"/>
              </w:rPr>
              <w:t>S10</w:t>
            </w:r>
          </w:p>
        </w:tc>
        <w:tc>
          <w:tcPr>
            <w:tcW w:type="dxa" w:w="3231"/>
            <w:tcMar>
              <w:top w:w="60" w:type="dxa"/>
              <w:start w:w="70" w:type="dxa"/>
              <w:bottom w:w="60" w:type="dxa"/>
              <w:end w:w="70" w:type="dxa"/>
            </w:tcMar>
          </w:tcPr>
          <w:p>
            <w:r>
              <w:rPr>
                <w:sz w:val="16"/>
              </w:rPr>
              <w:t>FarmPi Stakeholder Presentation Pack</w:t>
            </w:r>
          </w:p>
        </w:tc>
        <w:tc>
          <w:tcPr>
            <w:tcW w:type="dxa" w:w="6180"/>
            <w:tcMar>
              <w:top w:w="60" w:type="dxa"/>
              <w:start w:w="70" w:type="dxa"/>
              <w:bottom w:w="60" w:type="dxa"/>
              <w:end w:w="70" w:type="dxa"/>
            </w:tcMar>
          </w:tcPr>
          <w:p>
            <w:r>
              <w:rPr>
                <w:sz w:val="16"/>
              </w:rPr>
              <w:t>Minimum onboarding instrument. The two participant records describe the pack as version v0.01; it is an onboarding/test artifact, not stakeholder validation by itself.</w:t>
            </w:r>
          </w:p>
        </w:tc>
      </w:tr>
      <w:tr>
        <w:tc>
          <w:tcPr>
            <w:tcW w:type="dxa" w:w="680"/>
            <w:tcMar>
              <w:top w:w="60" w:type="dxa"/>
              <w:start w:w="70" w:type="dxa"/>
              <w:bottom w:w="60" w:type="dxa"/>
              <w:end w:w="70" w:type="dxa"/>
            </w:tcMar>
          </w:tcPr>
          <w:p>
            <w:r>
              <w:rPr>
                <w:sz w:val="16"/>
              </w:rPr>
              <w:t>S11</w:t>
            </w:r>
          </w:p>
        </w:tc>
        <w:tc>
          <w:tcPr>
            <w:tcW w:type="dxa" w:w="3231"/>
            <w:tcMar>
              <w:top w:w="60" w:type="dxa"/>
              <w:start w:w="70" w:type="dxa"/>
              <w:bottom w:w="60" w:type="dxa"/>
              <w:end w:w="70" w:type="dxa"/>
            </w:tcMar>
          </w:tcPr>
          <w:p>
            <w:r>
              <w:rPr>
                <w:sz w:val="16"/>
              </w:rPr>
              <w:t>FarmPi Stakeholder Usability Test Record v0.2 - P001 and P002 completed</w:t>
            </w:r>
          </w:p>
        </w:tc>
        <w:tc>
          <w:tcPr>
            <w:tcW w:type="dxa" w:w="6180"/>
            <w:tcMar>
              <w:top w:w="60" w:type="dxa"/>
              <w:start w:w="70" w:type="dxa"/>
              <w:bottom w:w="60" w:type="dxa"/>
              <w:end w:w="70" w:type="dxa"/>
            </w:tcMar>
          </w:tcPr>
          <w:p>
            <w:r>
              <w:rPr>
                <w:sz w:val="16"/>
              </w:rPr>
              <w:t>Direct human evidence from the two 5 October 2026 sessions, including onboarding, observed routes, assistance, preference, terminology and training feedback.</w:t>
            </w:r>
          </w:p>
        </w:tc>
      </w:tr>
      <w:tr>
        <w:tc>
          <w:tcPr>
            <w:tcW w:type="dxa" w:w="680"/>
            <w:tcMar>
              <w:top w:w="60" w:type="dxa"/>
              <w:start w:w="70" w:type="dxa"/>
              <w:bottom w:w="60" w:type="dxa"/>
              <w:end w:w="70" w:type="dxa"/>
            </w:tcMar>
          </w:tcPr>
          <w:p>
            <w:r>
              <w:rPr>
                <w:sz w:val="16"/>
              </w:rPr>
              <w:t>S12</w:t>
            </w:r>
          </w:p>
        </w:tc>
        <w:tc>
          <w:tcPr>
            <w:tcW w:type="dxa" w:w="3231"/>
            <w:tcMar>
              <w:top w:w="60" w:type="dxa"/>
              <w:start w:w="70" w:type="dxa"/>
              <w:bottom w:w="60" w:type="dxa"/>
              <w:end w:w="70" w:type="dxa"/>
            </w:tcMar>
          </w:tcPr>
          <w:p>
            <w:r>
              <w:rPr>
                <w:sz w:val="16"/>
              </w:rPr>
              <w:t>LT6 FarmPi Development Record v0.6</w:t>
            </w:r>
          </w:p>
        </w:tc>
        <w:tc>
          <w:tcPr>
            <w:tcW w:type="dxa" w:w="6180"/>
            <w:tcMar>
              <w:top w:w="60" w:type="dxa"/>
              <w:start w:w="70" w:type="dxa"/>
              <w:bottom w:w="60" w:type="dxa"/>
              <w:end w:w="70" w:type="dxa"/>
            </w:tcMar>
          </w:tcPr>
          <w:p>
            <w:r>
              <w:rPr>
                <w:sz w:val="16"/>
              </w:rPr>
              <w:t>Current chronological decision and development record through 5 October 2026, including PR #54 and the stakeholder findings.</w:t>
            </w:r>
          </w:p>
        </w:tc>
      </w:tr>
      <w:tr>
        <w:tc>
          <w:tcPr>
            <w:tcW w:type="dxa" w:w="680"/>
            <w:tcMar>
              <w:top w:w="60" w:type="dxa"/>
              <w:start w:w="70" w:type="dxa"/>
              <w:bottom w:w="60" w:type="dxa"/>
              <w:end w:w="70" w:type="dxa"/>
            </w:tcMar>
          </w:tcPr>
          <w:p>
            <w:r>
              <w:rPr>
                <w:sz w:val="16"/>
              </w:rPr>
              <w:t>S13</w:t>
            </w:r>
          </w:p>
        </w:tc>
        <w:tc>
          <w:tcPr>
            <w:tcW w:type="dxa" w:w="3231"/>
            <w:tcMar>
              <w:top w:w="60" w:type="dxa"/>
              <w:start w:w="70" w:type="dxa"/>
              <w:bottom w:w="60" w:type="dxa"/>
              <w:end w:w="70" w:type="dxa"/>
            </w:tcMar>
          </w:tcPr>
          <w:p>
            <w:r>
              <w:rPr>
                <w:sz w:val="16"/>
              </w:rPr>
              <w:t>FarmPi Consolidated Stakeholder Usability Evidence Summary v0.1</w:t>
            </w:r>
          </w:p>
        </w:tc>
        <w:tc>
          <w:tcPr>
            <w:tcW w:type="dxa" w:w="6180"/>
            <w:tcMar>
              <w:top w:w="60" w:type="dxa"/>
              <w:start w:w="70" w:type="dxa"/>
              <w:bottom w:w="60" w:type="dxa"/>
              <w:end w:w="70" w:type="dxa"/>
            </w:tcMar>
          </w:tcPr>
          <w:p>
            <w:r>
              <w:rPr>
                <w:sz w:val="16"/>
              </w:rPr>
              <w:t>Controlled synthesis of P001/P002 findings, resulting design decisions, safe claims and the E6-09 COMPLETE / E6-10 COMPLETE / E6-11 PARTIAL interpretation.</w:t>
            </w:r>
          </w:p>
        </w:tc>
      </w:tr>
      <w:tr>
        <w:tc>
          <w:tcPr>
            <w:tcW w:type="dxa" w:w="680"/>
            <w:tcMar>
              <w:top w:w="60" w:type="dxa"/>
              <w:start w:w="70" w:type="dxa"/>
              <w:bottom w:w="60" w:type="dxa"/>
              <w:end w:w="70" w:type="dxa"/>
            </w:tcMar>
          </w:tcPr>
          <w:p>
            <w:r>
              <w:rPr>
                <w:sz w:val="16"/>
              </w:rPr>
              <w:t>S14</w:t>
            </w:r>
          </w:p>
        </w:tc>
        <w:tc>
          <w:tcPr>
            <w:tcW w:type="dxa" w:w="3231"/>
            <w:tcMar>
              <w:top w:w="60" w:type="dxa"/>
              <w:start w:w="70" w:type="dxa"/>
              <w:bottom w:w="60" w:type="dxa"/>
              <w:end w:w="70" w:type="dxa"/>
            </w:tcMar>
          </w:tcPr>
          <w:p>
            <w:r>
              <w:rPr>
                <w:sz w:val="16"/>
              </w:rPr>
              <w:t>Learning Task 6 Working Draft v0.12</w:t>
            </w:r>
          </w:p>
        </w:tc>
        <w:tc>
          <w:tcPr>
            <w:tcW w:type="dxa" w:w="6180"/>
            <w:tcMar>
              <w:top w:w="60" w:type="dxa"/>
              <w:start w:w="70" w:type="dxa"/>
              <w:bottom w:w="60" w:type="dxa"/>
              <w:end w:w="70" w:type="dxa"/>
            </w:tcMar>
          </w:tcPr>
          <w:p>
            <w:r>
              <w:rPr>
                <w:sz w:val="16"/>
              </w:rPr>
              <w:t>Current narrative draft and embedded evidence figures. Its stakeholder/open-evidence wording is now stale and must be reconciled against v0.7 and this mapping.</w:t>
            </w:r>
          </w:p>
        </w:tc>
      </w:tr>
    </w:tbl>
    <w:p>
      <w:pPr>
        <w:pStyle w:val="Heading2"/>
        <w:keepNext/>
      </w:pPr>
      <w:r>
        <w:t>7.1 Repository state note</w:t>
      </w:r>
    </w:p>
    <w:p>
      <w:r>
        <w:t>The current mapped repository state is GitHub main at 2e89ce3f5354253f44b0ae1f17d671343d262811 after merged PR #54. PR #49 at 1deb4acd924e1ee8ef426cb8bf6871b33eff5b1e remains the capstone-acceptance consolidation reference. PRs #53/#54 reconcile the XC4604 calibration evidence and repository wording without turning later documentation-only changes into a new software-regression checkpoint. The strongest reported software-regression checkpoint therefore remains the clean 192-test Raspberry Pi run after PR #48.</w:t>
      </w:r>
    </w:p>
    <w:p>
      <w:pPr>
        <w:pStyle w:val="Heading1"/>
        <w:keepNext/>
      </w:pPr>
      <w:r>
        <w:t>8. Current conclusion</w:t>
      </w:r>
    </w:p>
    <w:p>
      <w:r>
        <w:t>Task 6 now provides strong, controlled evidence for GPO1-GPO4 through the integrated demonstrator, current industry tools, requirements and evidence discipline, independent technical judgement, new application/AI learning, repeatable deployment and real stakeholder response. The stakeholder sessions materially strengthen GPO2 and GPO3 because design assumptions were tested with people rather than left as developer judgement.</w:t>
      </w:r>
    </w:p>
    <w:p>
      <w:r>
        <w:t>Task 6 contributes to GPO5 through communication, observation and response to participant feedback, but it does not by itself demonstrate contribution within a diverse cross-functional IT team; the wider portfolio remains stronger for that outcome. GPO6 is also deliberately bounded: FarmPi contains strong ethical, provenance, sustainability and user-control examples, but generic usability sessions do not create cultural or Te Tiriti validation.</w:t>
      </w:r>
    </w:p>
    <w:p>
      <w:r>
        <w:t>The remaining FarmPi evidence issues are not hidden: T01 remains PARTIAL at 1/6 and E6-11 remains PARTIAL because the controlled comparative usability protocol was not completed. Those are final bounded results for the current capstone. The next work is to reconcile Learning Task 6 against this evidence set, then refresh Learning Task 4/SFIA and the wider portfolio.</w:t>
      </w:r>
    </w:p>
    <w:sectPr w:rsidR="00FC693F" w:rsidRPr="0006063C" w:rsidSect="00034616">
      <w:headerReference w:type="default" r:id="rId9"/>
      <w:footerReference w:type="default" r:id="rId10"/>
      <w:pgSz w:w="12240" w:h="15840"/>
      <w:pgMar w:top="935" w:right="1009" w:bottom="935"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FarmPi | Task 6 Evidence to GPO Mapping v0.4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LT6 Evidence to GPO Mapping | Jeremy Brooking | 5 October 2026 ·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