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10E246">
      <w:pPr>
        <w:rPr>
          <w:rFonts w:hint="eastAsia"/>
          <w:sz w:val="28"/>
        </w:rPr>
      </w:pPr>
    </w:p>
    <w:p w14:paraId="3CB8CA64">
      <w:pPr>
        <w:jc w:val="center"/>
        <w:rPr>
          <w:rFonts w:hint="eastAsia" w:eastAsia="华文行楷"/>
          <w:b/>
          <w:sz w:val="72"/>
        </w:rPr>
      </w:pPr>
      <w:r>
        <w:rPr>
          <w:rFonts w:hint="eastAsia" w:eastAsia="华文行楷"/>
          <w:b/>
          <w:sz w:val="72"/>
        </w:rPr>
        <w:t>深 圳 大 学</w:t>
      </w:r>
    </w:p>
    <w:p w14:paraId="28E85FF1">
      <w:pPr>
        <w:jc w:val="center"/>
        <w:rPr>
          <w:rFonts w:hint="eastAsia" w:eastAsia="黑体"/>
          <w:sz w:val="48"/>
        </w:rPr>
      </w:pPr>
      <w:r>
        <w:rPr>
          <w:rFonts w:hint="eastAsia" w:eastAsia="黑体"/>
          <w:sz w:val="48"/>
        </w:rPr>
        <w:t>本 科 毕 业 论 文（设计）</w:t>
      </w:r>
    </w:p>
    <w:p w14:paraId="08EA14EE">
      <w:pPr>
        <w:jc w:val="center"/>
        <w:rPr>
          <w:rFonts w:hint="eastAsia"/>
          <w:sz w:val="32"/>
        </w:rPr>
      </w:pPr>
    </w:p>
    <w:p w14:paraId="7565AFA9">
      <w:pPr>
        <w:jc w:val="center"/>
        <w:rPr>
          <w:rFonts w:hint="eastAsia"/>
          <w:sz w:val="32"/>
        </w:rPr>
      </w:pPr>
    </w:p>
    <w:p w14:paraId="677037BE">
      <w:pPr>
        <w:jc w:val="center"/>
        <w:rPr>
          <w:rFonts w:hint="eastAsia"/>
          <w:sz w:val="32"/>
        </w:rPr>
      </w:pPr>
    </w:p>
    <w:tbl>
      <w:tblPr>
        <w:tblStyle w:val="14"/>
        <w:tblW w:w="0" w:type="auto"/>
        <w:tblInd w:w="1242" w:type="dxa"/>
        <w:tblLayout w:type="autofit"/>
        <w:tblCellMar>
          <w:top w:w="0" w:type="dxa"/>
          <w:left w:w="108" w:type="dxa"/>
          <w:bottom w:w="0" w:type="dxa"/>
          <w:right w:w="108" w:type="dxa"/>
        </w:tblCellMar>
      </w:tblPr>
      <w:tblGrid>
        <w:gridCol w:w="1701"/>
        <w:gridCol w:w="4395"/>
      </w:tblGrid>
      <w:tr w14:paraId="5F559B0C">
        <w:tblPrEx>
          <w:tblCellMar>
            <w:top w:w="0" w:type="dxa"/>
            <w:left w:w="108" w:type="dxa"/>
            <w:bottom w:w="0" w:type="dxa"/>
            <w:right w:w="108" w:type="dxa"/>
          </w:tblCellMar>
        </w:tblPrEx>
        <w:tc>
          <w:tcPr>
            <w:tcW w:w="1701" w:type="dxa"/>
            <w:shd w:val="clear" w:color="auto" w:fill="auto"/>
            <w:noWrap w:val="0"/>
            <w:vAlign w:val="top"/>
          </w:tcPr>
          <w:p w14:paraId="4FD5E22B">
            <w:pPr>
              <w:rPr>
                <w:rFonts w:ascii="黑体" w:eastAsia="黑体"/>
                <w:sz w:val="32"/>
                <w:u w:val="single"/>
              </w:rPr>
            </w:pPr>
            <w:r>
              <w:rPr>
                <w:rFonts w:hint="eastAsia" w:ascii="黑体" w:eastAsia="黑体"/>
                <w:sz w:val="32"/>
              </w:rPr>
              <w:t>题目</w:t>
            </w:r>
            <w:r>
              <w:rPr>
                <w:rFonts w:hint="eastAsia" w:eastAsia="黑体"/>
                <w:sz w:val="32"/>
              </w:rPr>
              <w:t>：</w:t>
            </w:r>
          </w:p>
        </w:tc>
        <w:tc>
          <w:tcPr>
            <w:tcW w:w="4395" w:type="dxa"/>
            <w:tcBorders>
              <w:bottom w:val="single" w:color="auto" w:sz="4" w:space="0"/>
            </w:tcBorders>
            <w:shd w:val="clear" w:color="auto" w:fill="auto"/>
            <w:noWrap w:val="0"/>
            <w:vAlign w:val="top"/>
          </w:tcPr>
          <w:p w14:paraId="2EAE51D2">
            <w:pPr>
              <w:rPr>
                <w:rFonts w:hint="eastAsia" w:ascii="黑体" w:eastAsia="黑体"/>
                <w:sz w:val="32"/>
                <w:u w:val="single"/>
              </w:rPr>
            </w:pPr>
            <w:r>
              <w:rPr>
                <w:rFonts w:hint="eastAsia" w:ascii="楷体" w:hAnsi="楷体" w:eastAsia="楷体" w:cs="楷体"/>
                <w:b/>
                <w:bCs/>
                <w:sz w:val="32"/>
                <w:szCs w:val="32"/>
                <w:u w:val="single"/>
              </w:rPr>
              <w:t>基于遗传算法的医保集采药品配送路径优化研究——以定点零售药店为例</w:t>
            </w:r>
          </w:p>
        </w:tc>
      </w:tr>
      <w:tr w14:paraId="4B54A74E">
        <w:tblPrEx>
          <w:tblCellMar>
            <w:top w:w="0" w:type="dxa"/>
            <w:left w:w="108" w:type="dxa"/>
            <w:bottom w:w="0" w:type="dxa"/>
            <w:right w:w="108" w:type="dxa"/>
          </w:tblCellMar>
        </w:tblPrEx>
        <w:tc>
          <w:tcPr>
            <w:tcW w:w="1701" w:type="dxa"/>
            <w:shd w:val="clear" w:color="auto" w:fill="auto"/>
            <w:noWrap w:val="0"/>
            <w:vAlign w:val="top"/>
          </w:tcPr>
          <w:p w14:paraId="6AF1146B">
            <w:pPr>
              <w:rPr>
                <w:rFonts w:ascii="黑体" w:eastAsia="黑体"/>
                <w:sz w:val="32"/>
                <w:u w:val="single"/>
              </w:rPr>
            </w:pPr>
            <w:r>
              <w:rPr>
                <w:rFonts w:hint="eastAsia" w:ascii="黑体" w:eastAsia="黑体"/>
                <w:sz w:val="32"/>
              </w:rPr>
              <w:t>姓名</w:t>
            </w:r>
            <w:r>
              <w:rPr>
                <w:rFonts w:hint="eastAsia" w:eastAsia="黑体"/>
                <w:sz w:val="32"/>
              </w:rPr>
              <w:t>：</w:t>
            </w:r>
          </w:p>
        </w:tc>
        <w:tc>
          <w:tcPr>
            <w:tcW w:w="4395" w:type="dxa"/>
            <w:tcBorders>
              <w:top w:val="single" w:color="auto" w:sz="4" w:space="0"/>
              <w:bottom w:val="single" w:color="auto" w:sz="4" w:space="0"/>
            </w:tcBorders>
            <w:shd w:val="clear" w:color="auto" w:fill="auto"/>
            <w:noWrap w:val="0"/>
            <w:vAlign w:val="top"/>
          </w:tcPr>
          <w:p w14:paraId="18D6610A">
            <w:pPr>
              <w:jc w:val="center"/>
              <w:rPr>
                <w:rFonts w:hint="default" w:ascii="楷体" w:hAnsi="楷体" w:eastAsia="楷体"/>
                <w:b/>
                <w:bCs/>
                <w:sz w:val="32"/>
                <w:lang w:val="en-US" w:eastAsia="zh-CN"/>
              </w:rPr>
            </w:pPr>
            <w:r>
              <w:rPr>
                <w:rFonts w:hint="eastAsia" w:ascii="楷体" w:hAnsi="楷体" w:eastAsia="楷体"/>
                <w:b/>
                <w:bCs/>
                <w:sz w:val="32"/>
                <w:lang w:val="en-US" w:eastAsia="zh-CN"/>
              </w:rPr>
              <w:t>吴婉茜</w:t>
            </w:r>
          </w:p>
        </w:tc>
      </w:tr>
      <w:tr w14:paraId="63B7FBCC">
        <w:tblPrEx>
          <w:tblCellMar>
            <w:top w:w="0" w:type="dxa"/>
            <w:left w:w="108" w:type="dxa"/>
            <w:bottom w:w="0" w:type="dxa"/>
            <w:right w:w="108" w:type="dxa"/>
          </w:tblCellMar>
        </w:tblPrEx>
        <w:tc>
          <w:tcPr>
            <w:tcW w:w="1701" w:type="dxa"/>
            <w:shd w:val="clear" w:color="auto" w:fill="auto"/>
            <w:noWrap w:val="0"/>
            <w:vAlign w:val="top"/>
          </w:tcPr>
          <w:p w14:paraId="4E37C622">
            <w:pPr>
              <w:rPr>
                <w:rFonts w:ascii="黑体" w:eastAsia="黑体"/>
                <w:sz w:val="32"/>
                <w:u w:val="single"/>
              </w:rPr>
            </w:pPr>
            <w:r>
              <w:rPr>
                <w:rFonts w:hint="eastAsia" w:ascii="黑体" w:eastAsia="黑体"/>
                <w:sz w:val="32"/>
              </w:rPr>
              <w:t>专业</w:t>
            </w:r>
            <w:r>
              <w:rPr>
                <w:rFonts w:hint="eastAsia" w:eastAsia="黑体"/>
                <w:sz w:val="32"/>
              </w:rPr>
              <w:t>：</w:t>
            </w:r>
          </w:p>
        </w:tc>
        <w:tc>
          <w:tcPr>
            <w:tcW w:w="4395" w:type="dxa"/>
            <w:tcBorders>
              <w:top w:val="single" w:color="auto" w:sz="4" w:space="0"/>
              <w:bottom w:val="single" w:color="auto" w:sz="4" w:space="0"/>
            </w:tcBorders>
            <w:shd w:val="clear" w:color="auto" w:fill="auto"/>
            <w:noWrap w:val="0"/>
            <w:vAlign w:val="top"/>
          </w:tcPr>
          <w:p w14:paraId="7FD3A72B">
            <w:pPr>
              <w:jc w:val="center"/>
              <w:rPr>
                <w:rFonts w:ascii="楷体" w:hAnsi="楷体" w:eastAsia="楷体"/>
                <w:b/>
                <w:bCs/>
                <w:sz w:val="32"/>
              </w:rPr>
            </w:pPr>
            <w:r>
              <w:rPr>
                <w:rFonts w:hint="eastAsia" w:ascii="楷体" w:hAnsi="楷体" w:eastAsia="楷体"/>
                <w:b/>
                <w:bCs/>
                <w:sz w:val="32"/>
              </w:rPr>
              <w:t>信息管理与信息系统</w:t>
            </w:r>
          </w:p>
        </w:tc>
      </w:tr>
      <w:tr w14:paraId="75154A8C">
        <w:tblPrEx>
          <w:tblCellMar>
            <w:top w:w="0" w:type="dxa"/>
            <w:left w:w="108" w:type="dxa"/>
            <w:bottom w:w="0" w:type="dxa"/>
            <w:right w:w="108" w:type="dxa"/>
          </w:tblCellMar>
        </w:tblPrEx>
        <w:tc>
          <w:tcPr>
            <w:tcW w:w="1701" w:type="dxa"/>
            <w:shd w:val="clear" w:color="auto" w:fill="auto"/>
            <w:noWrap w:val="0"/>
            <w:vAlign w:val="top"/>
          </w:tcPr>
          <w:p w14:paraId="65573B68">
            <w:pPr>
              <w:rPr>
                <w:rFonts w:ascii="黑体" w:eastAsia="黑体"/>
                <w:sz w:val="32"/>
                <w:u w:val="single"/>
              </w:rPr>
            </w:pPr>
            <w:r>
              <w:rPr>
                <w:rFonts w:hint="eastAsia" w:ascii="黑体" w:eastAsia="黑体"/>
                <w:sz w:val="32"/>
              </w:rPr>
              <w:t>学院（部）：</w:t>
            </w:r>
          </w:p>
        </w:tc>
        <w:tc>
          <w:tcPr>
            <w:tcW w:w="4395" w:type="dxa"/>
            <w:tcBorders>
              <w:top w:val="single" w:color="auto" w:sz="4" w:space="0"/>
              <w:bottom w:val="single" w:color="auto" w:sz="4" w:space="0"/>
            </w:tcBorders>
            <w:shd w:val="clear" w:color="auto" w:fill="auto"/>
            <w:noWrap w:val="0"/>
            <w:vAlign w:val="top"/>
          </w:tcPr>
          <w:p w14:paraId="1FA3D116">
            <w:pPr>
              <w:jc w:val="center"/>
              <w:rPr>
                <w:rFonts w:ascii="楷体" w:hAnsi="楷体" w:eastAsia="楷体"/>
                <w:b/>
                <w:bCs/>
                <w:sz w:val="32"/>
              </w:rPr>
            </w:pPr>
            <w:r>
              <w:rPr>
                <w:rFonts w:hint="eastAsia" w:ascii="楷体" w:hAnsi="楷体" w:eastAsia="楷体"/>
                <w:b/>
                <w:bCs/>
                <w:sz w:val="32"/>
              </w:rPr>
              <w:t>管理学院</w:t>
            </w:r>
          </w:p>
        </w:tc>
      </w:tr>
      <w:tr w14:paraId="63C225A1">
        <w:tblPrEx>
          <w:tblCellMar>
            <w:top w:w="0" w:type="dxa"/>
            <w:left w:w="108" w:type="dxa"/>
            <w:bottom w:w="0" w:type="dxa"/>
            <w:right w:w="108" w:type="dxa"/>
          </w:tblCellMar>
        </w:tblPrEx>
        <w:tc>
          <w:tcPr>
            <w:tcW w:w="1701" w:type="dxa"/>
            <w:shd w:val="clear" w:color="auto" w:fill="auto"/>
            <w:noWrap w:val="0"/>
            <w:vAlign w:val="top"/>
          </w:tcPr>
          <w:p w14:paraId="4F347658">
            <w:pPr>
              <w:rPr>
                <w:rFonts w:ascii="黑体" w:eastAsia="黑体"/>
                <w:sz w:val="32"/>
                <w:u w:val="single"/>
              </w:rPr>
            </w:pPr>
            <w:r>
              <w:rPr>
                <w:rFonts w:hint="eastAsia" w:ascii="黑体" w:eastAsia="黑体"/>
                <w:sz w:val="32"/>
              </w:rPr>
              <w:t>学号：</w:t>
            </w:r>
          </w:p>
        </w:tc>
        <w:tc>
          <w:tcPr>
            <w:tcW w:w="4395" w:type="dxa"/>
            <w:tcBorders>
              <w:top w:val="single" w:color="auto" w:sz="4" w:space="0"/>
              <w:bottom w:val="single" w:color="auto" w:sz="4" w:space="0"/>
            </w:tcBorders>
            <w:shd w:val="clear" w:color="auto" w:fill="auto"/>
            <w:noWrap w:val="0"/>
            <w:vAlign w:val="top"/>
          </w:tcPr>
          <w:p w14:paraId="76AEE243">
            <w:pPr>
              <w:jc w:val="center"/>
              <w:rPr>
                <w:rFonts w:hint="default" w:ascii="楷体" w:hAnsi="楷体" w:eastAsia="楷体"/>
                <w:b/>
                <w:bCs/>
                <w:sz w:val="32"/>
                <w:lang w:val="en-US" w:eastAsia="zh-CN"/>
              </w:rPr>
            </w:pPr>
            <w:r>
              <w:rPr>
                <w:rFonts w:hint="eastAsia" w:ascii="楷体" w:hAnsi="楷体" w:eastAsia="楷体"/>
                <w:b/>
                <w:bCs/>
                <w:sz w:val="32"/>
                <w:lang w:val="en-US" w:eastAsia="zh-CN"/>
              </w:rPr>
              <w:t>2021040520</w:t>
            </w:r>
          </w:p>
        </w:tc>
      </w:tr>
      <w:tr w14:paraId="386F6656">
        <w:tblPrEx>
          <w:tblCellMar>
            <w:top w:w="0" w:type="dxa"/>
            <w:left w:w="108" w:type="dxa"/>
            <w:bottom w:w="0" w:type="dxa"/>
            <w:right w:w="108" w:type="dxa"/>
          </w:tblCellMar>
        </w:tblPrEx>
        <w:tc>
          <w:tcPr>
            <w:tcW w:w="1701" w:type="dxa"/>
            <w:shd w:val="clear" w:color="auto" w:fill="auto"/>
            <w:noWrap w:val="0"/>
            <w:vAlign w:val="top"/>
          </w:tcPr>
          <w:p w14:paraId="4F464DC6">
            <w:pPr>
              <w:rPr>
                <w:rFonts w:ascii="黑体" w:eastAsia="黑体"/>
                <w:sz w:val="32"/>
                <w:u w:val="single"/>
              </w:rPr>
            </w:pPr>
            <w:r>
              <w:rPr>
                <w:rFonts w:hint="eastAsia" w:ascii="黑体" w:eastAsia="黑体"/>
                <w:sz w:val="32"/>
              </w:rPr>
              <w:t>指导教师：</w:t>
            </w:r>
          </w:p>
        </w:tc>
        <w:tc>
          <w:tcPr>
            <w:tcW w:w="4395" w:type="dxa"/>
            <w:tcBorders>
              <w:top w:val="single" w:color="auto" w:sz="4" w:space="0"/>
              <w:bottom w:val="single" w:color="auto" w:sz="4" w:space="0"/>
            </w:tcBorders>
            <w:shd w:val="clear" w:color="auto" w:fill="auto"/>
            <w:noWrap w:val="0"/>
            <w:vAlign w:val="top"/>
          </w:tcPr>
          <w:p w14:paraId="3F6E079F">
            <w:pPr>
              <w:jc w:val="center"/>
              <w:rPr>
                <w:rFonts w:hint="eastAsia" w:ascii="楷体" w:hAnsi="楷体" w:eastAsia="楷体"/>
                <w:b/>
                <w:bCs/>
                <w:sz w:val="32"/>
                <w:lang w:eastAsia="zh-CN"/>
              </w:rPr>
            </w:pPr>
            <w:r>
              <w:rPr>
                <w:rFonts w:hint="eastAsia" w:ascii="楷体" w:hAnsi="楷体" w:eastAsia="楷体"/>
                <w:b/>
                <w:bCs/>
                <w:sz w:val="32"/>
                <w:lang w:val="en-US" w:eastAsia="zh-CN"/>
              </w:rPr>
              <w:t>蚁文洁</w:t>
            </w:r>
          </w:p>
        </w:tc>
      </w:tr>
      <w:tr w14:paraId="6C16A833">
        <w:tblPrEx>
          <w:tblCellMar>
            <w:top w:w="0" w:type="dxa"/>
            <w:left w:w="108" w:type="dxa"/>
            <w:bottom w:w="0" w:type="dxa"/>
            <w:right w:w="108" w:type="dxa"/>
          </w:tblCellMar>
        </w:tblPrEx>
        <w:tc>
          <w:tcPr>
            <w:tcW w:w="1701" w:type="dxa"/>
            <w:shd w:val="clear" w:color="auto" w:fill="auto"/>
            <w:noWrap w:val="0"/>
            <w:vAlign w:val="top"/>
          </w:tcPr>
          <w:p w14:paraId="6FF059E5">
            <w:pPr>
              <w:rPr>
                <w:rFonts w:ascii="黑体" w:eastAsia="黑体"/>
                <w:sz w:val="32"/>
                <w:u w:val="single"/>
              </w:rPr>
            </w:pPr>
            <w:r>
              <w:rPr>
                <w:rFonts w:hint="eastAsia" w:ascii="黑体" w:eastAsia="黑体"/>
                <w:sz w:val="32"/>
              </w:rPr>
              <w:t>职称：</w:t>
            </w:r>
          </w:p>
        </w:tc>
        <w:tc>
          <w:tcPr>
            <w:tcW w:w="4395" w:type="dxa"/>
            <w:tcBorders>
              <w:top w:val="single" w:color="auto" w:sz="4" w:space="0"/>
              <w:bottom w:val="single" w:color="auto" w:sz="4" w:space="0"/>
            </w:tcBorders>
            <w:shd w:val="clear" w:color="auto" w:fill="auto"/>
            <w:noWrap w:val="0"/>
            <w:vAlign w:val="top"/>
          </w:tcPr>
          <w:p w14:paraId="4FFD92BA">
            <w:pPr>
              <w:jc w:val="center"/>
              <w:rPr>
                <w:rFonts w:ascii="楷体" w:hAnsi="楷体" w:eastAsia="楷体"/>
                <w:b/>
                <w:bCs/>
                <w:sz w:val="32"/>
              </w:rPr>
            </w:pPr>
            <w:r>
              <w:rPr>
                <w:rFonts w:hint="eastAsia" w:ascii="楷体" w:hAnsi="楷体" w:eastAsia="楷体"/>
                <w:b/>
                <w:bCs/>
                <w:sz w:val="32"/>
              </w:rPr>
              <w:t>教授</w:t>
            </w:r>
          </w:p>
        </w:tc>
      </w:tr>
    </w:tbl>
    <w:p w14:paraId="5591BBED">
      <w:pPr>
        <w:spacing w:line="700" w:lineRule="exact"/>
        <w:rPr>
          <w:rFonts w:hint="eastAsia"/>
          <w:sz w:val="32"/>
        </w:rPr>
      </w:pPr>
      <w:r>
        <w:rPr>
          <w:rFonts w:hint="eastAsia"/>
          <w:sz w:val="32"/>
        </w:rPr>
        <w:t xml:space="preserve">            </w:t>
      </w:r>
    </w:p>
    <w:p w14:paraId="542507E2">
      <w:pPr>
        <w:spacing w:line="480" w:lineRule="auto"/>
        <w:rPr>
          <w:rFonts w:hint="eastAsia"/>
          <w:sz w:val="32"/>
        </w:rPr>
      </w:pPr>
      <w:r>
        <w:rPr>
          <w:rFonts w:hint="eastAsia"/>
          <w:sz w:val="32"/>
        </w:rPr>
        <w:t xml:space="preserve">               </w:t>
      </w:r>
    </w:p>
    <w:p w14:paraId="0F81B251">
      <w:pPr>
        <w:spacing w:line="480" w:lineRule="auto"/>
        <w:rPr>
          <w:rFonts w:hint="eastAsia"/>
          <w:sz w:val="32"/>
          <w:u w:val="single"/>
        </w:rPr>
      </w:pPr>
    </w:p>
    <w:p w14:paraId="54241A80">
      <w:pPr>
        <w:spacing w:line="480" w:lineRule="auto"/>
        <w:rPr>
          <w:rFonts w:hint="eastAsia"/>
          <w:sz w:val="32"/>
          <w:u w:val="single"/>
        </w:rPr>
      </w:pPr>
    </w:p>
    <w:p w14:paraId="7158C0E1">
      <w:pPr>
        <w:spacing w:line="480" w:lineRule="auto"/>
        <w:jc w:val="center"/>
        <w:rPr>
          <w:sz w:val="32"/>
        </w:rPr>
      </w:pPr>
      <w:r>
        <w:rPr>
          <w:rFonts w:hint="eastAsia"/>
          <w:sz w:val="32"/>
          <w:lang w:val="en-US" w:eastAsia="zh-CN"/>
        </w:rPr>
        <w:t>2025</w:t>
      </w:r>
      <w:r>
        <w:rPr>
          <w:rFonts w:hint="eastAsia"/>
          <w:sz w:val="32"/>
        </w:rPr>
        <w:t xml:space="preserve">年    </w:t>
      </w:r>
      <w:r>
        <w:rPr>
          <w:rFonts w:hint="eastAsia"/>
          <w:sz w:val="32"/>
          <w:lang w:val="en-US" w:eastAsia="zh-CN"/>
        </w:rPr>
        <w:t>3</w:t>
      </w:r>
      <w:r>
        <w:rPr>
          <w:rFonts w:hint="eastAsia"/>
          <w:sz w:val="32"/>
        </w:rPr>
        <w:t xml:space="preserve">月    </w:t>
      </w:r>
      <w:r>
        <w:rPr>
          <w:rFonts w:hint="eastAsia"/>
          <w:sz w:val="32"/>
          <w:lang w:val="en-US" w:eastAsia="zh-CN"/>
        </w:rPr>
        <w:t>31</w:t>
      </w:r>
      <w:r>
        <w:rPr>
          <w:rFonts w:hint="eastAsia"/>
          <w:sz w:val="32"/>
        </w:rPr>
        <w:t>日</w:t>
      </w:r>
    </w:p>
    <w:p w14:paraId="65460DF4">
      <w:pPr>
        <w:spacing w:before="156" w:beforeLines="50" w:after="156" w:afterLines="50"/>
        <w:rPr>
          <w:rFonts w:hint="eastAsia" w:eastAsia="黑体"/>
          <w:sz w:val="30"/>
        </w:rPr>
      </w:pPr>
      <w:r>
        <w:rPr>
          <w:sz w:val="32"/>
        </w:rPr>
        <w:br w:type="page"/>
      </w:r>
    </w:p>
    <w:p w14:paraId="200F2C74">
      <w:pPr>
        <w:spacing w:before="156" w:beforeLines="50" w:after="156" w:afterLines="50"/>
        <w:rPr>
          <w:rFonts w:hint="eastAsia" w:eastAsia="黑体"/>
          <w:sz w:val="30"/>
        </w:rPr>
      </w:pPr>
    </w:p>
    <w:p w14:paraId="443F6E7A">
      <w:pPr>
        <w:spacing w:before="100" w:beforeAutospacing="1" w:after="100" w:afterAutospacing="1" w:line="360" w:lineRule="auto"/>
        <w:jc w:val="center"/>
        <w:outlineLvl w:val="9"/>
        <w:rPr>
          <w:rFonts w:hint="eastAsia" w:ascii="黑体" w:eastAsia="黑体"/>
          <w:b/>
          <w:bCs/>
          <w:sz w:val="36"/>
        </w:rPr>
      </w:pPr>
      <w:bookmarkStart w:id="0" w:name="_Toc24354"/>
      <w:r>
        <w:rPr>
          <w:rFonts w:hint="eastAsia" w:ascii="黑体" w:eastAsia="黑体"/>
          <w:b/>
          <w:bCs/>
          <w:sz w:val="36"/>
        </w:rPr>
        <w:t>深圳大学本科毕业论文（设计）诚信声明</w:t>
      </w:r>
      <w:bookmarkEnd w:id="0"/>
    </w:p>
    <w:p w14:paraId="1538A6A1">
      <w:pPr>
        <w:spacing w:before="100" w:beforeAutospacing="1" w:after="100" w:afterAutospacing="1" w:line="360" w:lineRule="auto"/>
        <w:ind w:firstLine="560" w:firstLineChars="200"/>
        <w:rPr>
          <w:rFonts w:hint="eastAsia"/>
          <w:sz w:val="28"/>
        </w:rPr>
      </w:pPr>
    </w:p>
    <w:p w14:paraId="263F8680">
      <w:pPr>
        <w:spacing w:before="100" w:beforeAutospacing="1" w:after="100" w:afterAutospacing="1" w:line="360" w:lineRule="auto"/>
        <w:ind w:firstLine="560" w:firstLineChars="200"/>
        <w:rPr>
          <w:sz w:val="28"/>
        </w:rPr>
      </w:pPr>
      <w:r>
        <w:rPr>
          <w:rFonts w:hint="eastAsia"/>
          <w:sz w:val="28"/>
        </w:rPr>
        <w:t>本人郑重声明：所呈交的毕业论文（设计），题目《</w:t>
      </w:r>
      <w:r>
        <w:rPr>
          <w:rFonts w:hint="eastAsia" w:ascii="楷体" w:hAnsi="楷体" w:eastAsia="楷体" w:cs="楷体"/>
          <w:b/>
          <w:bCs/>
          <w:sz w:val="32"/>
          <w:szCs w:val="32"/>
          <w:u w:val="single"/>
        </w:rPr>
        <w:t>基于遗传算法的医保集采药品配送路径优化研究——以定点零售药店为例</w:t>
      </w:r>
      <w:r>
        <w:rPr>
          <w:rFonts w:hint="eastAsia"/>
          <w:sz w:val="28"/>
        </w:rPr>
        <w:t>》是本人在指导教师的指导下，独立进行研究工作所取得的成果。对本文的研究做出重要贡献的个人和集体，均已在文中以明确方式注明。除此之外，本论文不包含任何其他个人或集体已经发表或撰写过的作品成果。本人完全意识到本声明的法律结果。</w:t>
      </w:r>
    </w:p>
    <w:p w14:paraId="78AD6886">
      <w:pPr>
        <w:ind w:firstLine="435"/>
        <w:rPr>
          <w:sz w:val="28"/>
        </w:rPr>
      </w:pPr>
    </w:p>
    <w:p w14:paraId="5082AA48">
      <w:pPr>
        <w:ind w:firstLine="435"/>
      </w:pPr>
    </w:p>
    <w:p w14:paraId="5E754E59">
      <w:pPr>
        <w:ind w:firstLine="435"/>
      </w:pPr>
    </w:p>
    <w:p w14:paraId="0D322142">
      <w:pPr>
        <w:ind w:firstLine="435"/>
      </w:pPr>
    </w:p>
    <w:p w14:paraId="063B674F">
      <w:pPr>
        <w:ind w:firstLine="435"/>
      </w:pPr>
    </w:p>
    <w:p w14:paraId="1AD18F63">
      <w:pPr>
        <w:ind w:firstLine="435"/>
        <w:rPr>
          <w:sz w:val="28"/>
        </w:rPr>
      </w:pPr>
      <w:r>
        <w:t xml:space="preserve">                           </w:t>
      </w:r>
      <w:r>
        <w:rPr>
          <w:rFonts w:hint="eastAsia"/>
          <w:sz w:val="28"/>
        </w:rPr>
        <w:t>毕业论文（设计）作者签名：</w:t>
      </w:r>
    </w:p>
    <w:p w14:paraId="394B9121">
      <w:pPr>
        <w:ind w:firstLine="435"/>
        <w:rPr>
          <w:sz w:val="28"/>
        </w:rPr>
      </w:pPr>
      <w:r>
        <w:rPr>
          <w:sz w:val="28"/>
        </w:rPr>
        <w:t xml:space="preserve">                    </w:t>
      </w:r>
      <w:r>
        <w:rPr>
          <w:rFonts w:hint="eastAsia"/>
          <w:sz w:val="28"/>
        </w:rPr>
        <w:t>日期：</w:t>
      </w:r>
      <w:r>
        <w:rPr>
          <w:sz w:val="28"/>
        </w:rPr>
        <w:t xml:space="preserve">         </w:t>
      </w:r>
      <w:r>
        <w:rPr>
          <w:rFonts w:hint="eastAsia"/>
          <w:sz w:val="28"/>
          <w:lang w:val="en-US" w:eastAsia="zh-CN"/>
        </w:rPr>
        <w:t>2025</w:t>
      </w:r>
      <w:r>
        <w:rPr>
          <w:rFonts w:hint="eastAsia"/>
          <w:sz w:val="28"/>
        </w:rPr>
        <w:t>年</w:t>
      </w:r>
      <w:r>
        <w:rPr>
          <w:sz w:val="28"/>
        </w:rPr>
        <w:t xml:space="preserve">   </w:t>
      </w:r>
      <w:r>
        <w:rPr>
          <w:rFonts w:hint="eastAsia"/>
          <w:sz w:val="28"/>
          <w:lang w:val="en-US" w:eastAsia="zh-CN"/>
        </w:rPr>
        <w:t>3</w:t>
      </w:r>
      <w:r>
        <w:rPr>
          <w:rFonts w:hint="eastAsia"/>
          <w:sz w:val="28"/>
        </w:rPr>
        <w:t>月</w:t>
      </w:r>
      <w:r>
        <w:rPr>
          <w:sz w:val="28"/>
        </w:rPr>
        <w:t xml:space="preserve">   </w:t>
      </w:r>
      <w:r>
        <w:rPr>
          <w:rFonts w:hint="eastAsia"/>
          <w:sz w:val="28"/>
          <w:lang w:val="en-US" w:eastAsia="zh-CN"/>
        </w:rPr>
        <w:t>31</w:t>
      </w:r>
      <w:r>
        <w:rPr>
          <w:rFonts w:hint="eastAsia"/>
          <w:sz w:val="28"/>
        </w:rPr>
        <w:t>日</w:t>
      </w:r>
    </w:p>
    <w:p w14:paraId="187C40F4">
      <w:pPr>
        <w:rPr>
          <w:rFonts w:hint="eastAsia"/>
        </w:rPr>
      </w:pPr>
    </w:p>
    <w:p w14:paraId="672F943E">
      <w:pPr>
        <w:rPr>
          <w:rFonts w:hint="eastAsia" w:ascii="宋体"/>
          <w:sz w:val="28"/>
        </w:rPr>
      </w:pPr>
    </w:p>
    <w:p w14:paraId="2EE4E5CB">
      <w:pPr>
        <w:spacing w:line="480" w:lineRule="auto"/>
        <w:jc w:val="center"/>
        <w:rPr>
          <w:rFonts w:eastAsia="黑体"/>
          <w:b/>
          <w:bCs/>
          <w:sz w:val="30"/>
          <w:szCs w:val="30"/>
        </w:rPr>
        <w:sectPr>
          <w:footerReference r:id="rId3" w:type="even"/>
          <w:pgSz w:w="11906" w:h="16838"/>
          <w:pgMar w:top="1440" w:right="1800" w:bottom="1440" w:left="1800" w:header="851" w:footer="992" w:gutter="0"/>
          <w:pgNumType w:fmt="upperRoman" w:start="1"/>
          <w:cols w:space="425" w:num="1"/>
          <w:docGrid w:type="lines" w:linePitch="312" w:charSpace="0"/>
        </w:sectPr>
      </w:pPr>
    </w:p>
    <w:p w14:paraId="236D5923">
      <w:pPr>
        <w:spacing w:line="480" w:lineRule="auto"/>
        <w:jc w:val="center"/>
        <w:rPr>
          <w:rFonts w:ascii="Times New Roman" w:hAnsi="Times New Roman" w:eastAsia="宋体" w:cs="Times New Roman"/>
          <w:kern w:val="2"/>
          <w:sz w:val="24"/>
          <w:szCs w:val="24"/>
          <w:lang w:val="zh-CN" w:eastAsia="zh-CN" w:bidi="ar-SA"/>
        </w:rPr>
      </w:pPr>
      <w:r>
        <w:rPr>
          <w:rFonts w:hint="eastAsia" w:eastAsia="黑体"/>
          <w:b/>
          <w:bCs/>
          <w:sz w:val="30"/>
          <w:szCs w:val="30"/>
        </w:rPr>
        <w:t xml:space="preserve">目 </w:t>
      </w:r>
      <w:r>
        <w:rPr>
          <w:rFonts w:eastAsia="黑体"/>
          <w:b/>
          <w:bCs/>
          <w:sz w:val="30"/>
          <w:szCs w:val="30"/>
        </w:rPr>
        <w:t xml:space="preserve"> </w:t>
      </w:r>
      <w:r>
        <w:rPr>
          <w:rFonts w:hint="eastAsia" w:eastAsia="黑体"/>
          <w:b/>
          <w:bCs/>
          <w:sz w:val="30"/>
          <w:szCs w:val="30"/>
        </w:rPr>
        <w:t>录</w:t>
      </w:r>
      <w:r>
        <w:rPr>
          <w:sz w:val="24"/>
        </w:rPr>
        <w:fldChar w:fldCharType="begin"/>
      </w:r>
      <w:r>
        <w:rPr>
          <w:sz w:val="24"/>
        </w:rPr>
        <w:instrText xml:space="preserve"> TOC \o "1-3" \h \z \u </w:instrText>
      </w:r>
      <w:r>
        <w:rPr>
          <w:sz w:val="24"/>
        </w:rPr>
        <w:fldChar w:fldCharType="separate"/>
      </w:r>
    </w:p>
    <w:p w14:paraId="01BCC641">
      <w:pPr>
        <w:pStyle w:val="10"/>
        <w:tabs>
          <w:tab w:val="right" w:leader="dot" w:pos="8306"/>
          <w:tab w:val="clear" w:pos="8296"/>
        </w:tabs>
      </w:pPr>
      <w:r>
        <w:rPr>
          <w:lang w:val="zh-CN"/>
        </w:rPr>
        <w:fldChar w:fldCharType="begin"/>
      </w:r>
      <w:r>
        <w:rPr>
          <w:lang w:val="zh-CN"/>
        </w:rPr>
        <w:instrText xml:space="preserve"> HYPERLINK \l _Toc27414 </w:instrText>
      </w:r>
      <w:r>
        <w:rPr>
          <w:lang w:val="zh-CN"/>
        </w:rPr>
        <w:fldChar w:fldCharType="separate"/>
      </w:r>
      <w:r>
        <w:rPr>
          <w:rFonts w:eastAsia="黑体"/>
          <w:bCs/>
          <w:szCs w:val="30"/>
        </w:rPr>
        <w:t>1 引言</w:t>
      </w:r>
      <w:r>
        <w:tab/>
      </w:r>
      <w:r>
        <w:fldChar w:fldCharType="begin"/>
      </w:r>
      <w:r>
        <w:instrText xml:space="preserve"> PAGEREF _Toc27414 \h </w:instrText>
      </w:r>
      <w:r>
        <w:fldChar w:fldCharType="separate"/>
      </w:r>
      <w:r>
        <w:t>2</w:t>
      </w:r>
      <w:r>
        <w:fldChar w:fldCharType="end"/>
      </w:r>
      <w:r>
        <w:rPr>
          <w:lang w:val="zh-CN"/>
        </w:rPr>
        <w:fldChar w:fldCharType="end"/>
      </w:r>
    </w:p>
    <w:p w14:paraId="7F8EEE5E">
      <w:pPr>
        <w:pStyle w:val="11"/>
        <w:tabs>
          <w:tab w:val="right" w:leader="dot" w:pos="8306"/>
        </w:tabs>
      </w:pPr>
      <w:r>
        <w:rPr>
          <w:lang w:val="zh-CN"/>
        </w:rPr>
        <w:fldChar w:fldCharType="begin"/>
      </w:r>
      <w:r>
        <w:rPr>
          <w:lang w:val="zh-CN"/>
        </w:rPr>
        <w:instrText xml:space="preserve"> HYPERLINK \l _Toc32666 </w:instrText>
      </w:r>
      <w:r>
        <w:rPr>
          <w:lang w:val="zh-CN"/>
        </w:rPr>
        <w:fldChar w:fldCharType="separate"/>
      </w:r>
      <w:r>
        <w:rPr>
          <w:rFonts w:hint="eastAsia" w:eastAsia="黑体"/>
          <w:bCs/>
          <w:szCs w:val="28"/>
        </w:rPr>
        <w:t>1</w:t>
      </w:r>
      <w:r>
        <w:rPr>
          <w:rFonts w:eastAsia="黑体"/>
          <w:bCs/>
          <w:szCs w:val="28"/>
        </w:rPr>
        <w:t xml:space="preserve">.1 </w:t>
      </w:r>
      <w:r>
        <w:rPr>
          <w:rFonts w:hint="eastAsia" w:eastAsia="黑体"/>
          <w:bCs/>
          <w:szCs w:val="28"/>
        </w:rPr>
        <w:t>选题背景</w:t>
      </w:r>
      <w:r>
        <w:tab/>
      </w:r>
      <w:r>
        <w:fldChar w:fldCharType="begin"/>
      </w:r>
      <w:r>
        <w:instrText xml:space="preserve"> PAGEREF _Toc32666 \h </w:instrText>
      </w:r>
      <w:r>
        <w:fldChar w:fldCharType="separate"/>
      </w:r>
      <w:r>
        <w:t>2</w:t>
      </w:r>
      <w:r>
        <w:fldChar w:fldCharType="end"/>
      </w:r>
      <w:r>
        <w:rPr>
          <w:lang w:val="zh-CN"/>
        </w:rPr>
        <w:fldChar w:fldCharType="end"/>
      </w:r>
    </w:p>
    <w:p w14:paraId="22A17A65">
      <w:pPr>
        <w:pStyle w:val="7"/>
        <w:tabs>
          <w:tab w:val="right" w:leader="dot" w:pos="8306"/>
        </w:tabs>
      </w:pPr>
      <w:r>
        <w:rPr>
          <w:lang w:val="zh-CN"/>
        </w:rPr>
        <w:fldChar w:fldCharType="begin"/>
      </w:r>
      <w:r>
        <w:rPr>
          <w:lang w:val="zh-CN"/>
        </w:rPr>
        <w:instrText xml:space="preserve"> HYPERLINK \l _Toc20439 </w:instrText>
      </w:r>
      <w:r>
        <w:rPr>
          <w:lang w:val="zh-CN"/>
        </w:rPr>
        <w:fldChar w:fldCharType="separate"/>
      </w:r>
      <w:r>
        <w:rPr>
          <w:rFonts w:hint="eastAsia" w:ascii="Times New Roman" w:hAnsi="Times New Roman" w:eastAsia="黑体" w:cs="Times New Roman"/>
          <w:bCs/>
          <w:lang w:val="en-US" w:eastAsia="zh-CN"/>
        </w:rPr>
        <w:t xml:space="preserve">1.1.1 </w:t>
      </w:r>
      <w:r>
        <w:rPr>
          <w:rFonts w:hint="eastAsia" w:ascii="Times New Roman" w:hAnsi="Times New Roman" w:eastAsia="黑体"/>
          <w:bCs/>
          <w:lang w:val="en-US" w:eastAsia="zh-CN"/>
        </w:rPr>
        <w:t>医保体系下的采集药品配送现状</w:t>
      </w:r>
      <w:r>
        <w:tab/>
      </w:r>
      <w:r>
        <w:fldChar w:fldCharType="begin"/>
      </w:r>
      <w:r>
        <w:instrText xml:space="preserve"> PAGEREF _Toc20439 \h </w:instrText>
      </w:r>
      <w:r>
        <w:fldChar w:fldCharType="separate"/>
      </w:r>
      <w:r>
        <w:t>2</w:t>
      </w:r>
      <w:r>
        <w:fldChar w:fldCharType="end"/>
      </w:r>
      <w:r>
        <w:rPr>
          <w:lang w:val="zh-CN"/>
        </w:rPr>
        <w:fldChar w:fldCharType="end"/>
      </w:r>
    </w:p>
    <w:p w14:paraId="1D41E368">
      <w:pPr>
        <w:pStyle w:val="7"/>
        <w:tabs>
          <w:tab w:val="right" w:leader="dot" w:pos="8306"/>
        </w:tabs>
      </w:pPr>
      <w:r>
        <w:rPr>
          <w:lang w:val="zh-CN"/>
        </w:rPr>
        <w:fldChar w:fldCharType="begin"/>
      </w:r>
      <w:r>
        <w:rPr>
          <w:lang w:val="zh-CN"/>
        </w:rPr>
        <w:instrText xml:space="preserve"> HYPERLINK \l _Toc5940 </w:instrText>
      </w:r>
      <w:r>
        <w:rPr>
          <w:lang w:val="zh-CN"/>
        </w:rPr>
        <w:fldChar w:fldCharType="separate"/>
      </w:r>
      <w:r>
        <w:rPr>
          <w:rFonts w:hint="eastAsia" w:ascii="Times New Roman" w:hAnsi="Times New Roman" w:eastAsia="黑体" w:cs="Times New Roman"/>
          <w:bCs/>
          <w:lang w:val="en-US" w:eastAsia="zh-CN"/>
        </w:rPr>
        <w:t>1.1.2 现有配送方式的不足</w:t>
      </w:r>
      <w:r>
        <w:tab/>
      </w:r>
      <w:r>
        <w:fldChar w:fldCharType="begin"/>
      </w:r>
      <w:r>
        <w:instrText xml:space="preserve"> PAGEREF _Toc5940 \h </w:instrText>
      </w:r>
      <w:r>
        <w:fldChar w:fldCharType="separate"/>
      </w:r>
      <w:r>
        <w:t>2</w:t>
      </w:r>
      <w:r>
        <w:fldChar w:fldCharType="end"/>
      </w:r>
      <w:r>
        <w:rPr>
          <w:lang w:val="zh-CN"/>
        </w:rPr>
        <w:fldChar w:fldCharType="end"/>
      </w:r>
    </w:p>
    <w:p w14:paraId="41DDA41E">
      <w:pPr>
        <w:pStyle w:val="11"/>
        <w:tabs>
          <w:tab w:val="right" w:leader="dot" w:pos="8306"/>
        </w:tabs>
      </w:pPr>
      <w:r>
        <w:rPr>
          <w:lang w:val="zh-CN"/>
        </w:rPr>
        <w:fldChar w:fldCharType="begin"/>
      </w:r>
      <w:r>
        <w:rPr>
          <w:lang w:val="zh-CN"/>
        </w:rPr>
        <w:instrText xml:space="preserve"> HYPERLINK \l _Toc13459 </w:instrText>
      </w:r>
      <w:r>
        <w:rPr>
          <w:lang w:val="zh-CN"/>
        </w:rPr>
        <w:fldChar w:fldCharType="separate"/>
      </w:r>
      <w:r>
        <w:rPr>
          <w:rFonts w:hint="eastAsia" w:eastAsia="黑体"/>
          <w:bCs/>
          <w:szCs w:val="28"/>
        </w:rPr>
        <w:t>1</w:t>
      </w:r>
      <w:r>
        <w:rPr>
          <w:rFonts w:eastAsia="黑体"/>
          <w:bCs/>
          <w:szCs w:val="28"/>
        </w:rPr>
        <w:t xml:space="preserve">.2 </w:t>
      </w:r>
      <w:r>
        <w:rPr>
          <w:rFonts w:hint="eastAsia" w:eastAsia="黑体"/>
          <w:bCs/>
          <w:szCs w:val="28"/>
        </w:rPr>
        <w:t>研究意义</w:t>
      </w:r>
      <w:r>
        <w:tab/>
      </w:r>
      <w:r>
        <w:fldChar w:fldCharType="begin"/>
      </w:r>
      <w:r>
        <w:instrText xml:space="preserve"> PAGEREF _Toc13459 \h </w:instrText>
      </w:r>
      <w:r>
        <w:fldChar w:fldCharType="separate"/>
      </w:r>
      <w:r>
        <w:t>2</w:t>
      </w:r>
      <w:r>
        <w:fldChar w:fldCharType="end"/>
      </w:r>
      <w:r>
        <w:rPr>
          <w:lang w:val="zh-CN"/>
        </w:rPr>
        <w:fldChar w:fldCharType="end"/>
      </w:r>
    </w:p>
    <w:p w14:paraId="7348E61C">
      <w:pPr>
        <w:pStyle w:val="7"/>
        <w:tabs>
          <w:tab w:val="right" w:leader="dot" w:pos="8306"/>
        </w:tabs>
      </w:pPr>
      <w:r>
        <w:rPr>
          <w:lang w:val="zh-CN"/>
        </w:rPr>
        <w:fldChar w:fldCharType="begin"/>
      </w:r>
      <w:r>
        <w:rPr>
          <w:lang w:val="zh-CN"/>
        </w:rPr>
        <w:instrText xml:space="preserve"> HYPERLINK \l _Toc28418 </w:instrText>
      </w:r>
      <w:r>
        <w:rPr>
          <w:lang w:val="zh-CN"/>
        </w:rPr>
        <w:fldChar w:fldCharType="separate"/>
      </w:r>
      <w:r>
        <w:rPr>
          <w:rFonts w:eastAsia="黑体"/>
          <w:bCs/>
        </w:rPr>
        <w:t>1.2.1 理论意义</w:t>
      </w:r>
      <w:r>
        <w:tab/>
      </w:r>
      <w:r>
        <w:fldChar w:fldCharType="begin"/>
      </w:r>
      <w:r>
        <w:instrText xml:space="preserve"> PAGEREF _Toc28418 \h </w:instrText>
      </w:r>
      <w:r>
        <w:fldChar w:fldCharType="separate"/>
      </w:r>
      <w:r>
        <w:t>2</w:t>
      </w:r>
      <w:r>
        <w:fldChar w:fldCharType="end"/>
      </w:r>
      <w:r>
        <w:rPr>
          <w:lang w:val="zh-CN"/>
        </w:rPr>
        <w:fldChar w:fldCharType="end"/>
      </w:r>
    </w:p>
    <w:p w14:paraId="1280C5FF">
      <w:pPr>
        <w:pStyle w:val="7"/>
        <w:tabs>
          <w:tab w:val="right" w:leader="dot" w:pos="8306"/>
        </w:tabs>
      </w:pPr>
      <w:r>
        <w:rPr>
          <w:lang w:val="zh-CN"/>
        </w:rPr>
        <w:fldChar w:fldCharType="begin"/>
      </w:r>
      <w:r>
        <w:rPr>
          <w:lang w:val="zh-CN"/>
        </w:rPr>
        <w:instrText xml:space="preserve"> HYPERLINK \l _Toc320 </w:instrText>
      </w:r>
      <w:r>
        <w:rPr>
          <w:lang w:val="zh-CN"/>
        </w:rPr>
        <w:fldChar w:fldCharType="separate"/>
      </w:r>
      <w:r>
        <w:rPr>
          <w:rFonts w:eastAsia="黑体"/>
          <w:bCs/>
        </w:rPr>
        <w:t xml:space="preserve">1.2.2 </w:t>
      </w:r>
      <w:r>
        <w:rPr>
          <w:rFonts w:hint="eastAsia" w:eastAsia="黑体"/>
          <w:bCs/>
        </w:rPr>
        <w:t>现实意义</w:t>
      </w:r>
      <w:r>
        <w:tab/>
      </w:r>
      <w:r>
        <w:fldChar w:fldCharType="begin"/>
      </w:r>
      <w:r>
        <w:instrText xml:space="preserve"> PAGEREF _Toc320 \h </w:instrText>
      </w:r>
      <w:r>
        <w:fldChar w:fldCharType="separate"/>
      </w:r>
      <w:r>
        <w:t>2</w:t>
      </w:r>
      <w:r>
        <w:fldChar w:fldCharType="end"/>
      </w:r>
      <w:r>
        <w:rPr>
          <w:lang w:val="zh-CN"/>
        </w:rPr>
        <w:fldChar w:fldCharType="end"/>
      </w:r>
    </w:p>
    <w:p w14:paraId="2E373E94">
      <w:pPr>
        <w:pStyle w:val="11"/>
        <w:tabs>
          <w:tab w:val="right" w:leader="dot" w:pos="8306"/>
        </w:tabs>
      </w:pPr>
      <w:r>
        <w:rPr>
          <w:lang w:val="zh-CN"/>
        </w:rPr>
        <w:fldChar w:fldCharType="begin"/>
      </w:r>
      <w:r>
        <w:rPr>
          <w:lang w:val="zh-CN"/>
        </w:rPr>
        <w:instrText xml:space="preserve"> HYPERLINK \l _Toc23127 </w:instrText>
      </w:r>
      <w:r>
        <w:rPr>
          <w:lang w:val="zh-CN"/>
        </w:rPr>
        <w:fldChar w:fldCharType="separate"/>
      </w:r>
      <w:r>
        <w:rPr>
          <w:rFonts w:hint="eastAsia" w:eastAsia="黑体"/>
          <w:bCs/>
          <w:szCs w:val="28"/>
        </w:rPr>
        <w:t>1</w:t>
      </w:r>
      <w:r>
        <w:rPr>
          <w:rFonts w:eastAsia="黑体"/>
          <w:bCs/>
          <w:szCs w:val="28"/>
        </w:rPr>
        <w:t xml:space="preserve">.3 </w:t>
      </w:r>
      <w:r>
        <w:rPr>
          <w:rFonts w:hint="eastAsia" w:eastAsia="黑体"/>
          <w:bCs/>
          <w:szCs w:val="28"/>
        </w:rPr>
        <w:t>国内外研究现状及评述</w:t>
      </w:r>
      <w:r>
        <w:tab/>
      </w:r>
      <w:r>
        <w:fldChar w:fldCharType="begin"/>
      </w:r>
      <w:r>
        <w:instrText xml:space="preserve"> PAGEREF _Toc23127 \h </w:instrText>
      </w:r>
      <w:r>
        <w:fldChar w:fldCharType="separate"/>
      </w:r>
      <w:r>
        <w:t>3</w:t>
      </w:r>
      <w:r>
        <w:fldChar w:fldCharType="end"/>
      </w:r>
      <w:r>
        <w:rPr>
          <w:lang w:val="zh-CN"/>
        </w:rPr>
        <w:fldChar w:fldCharType="end"/>
      </w:r>
    </w:p>
    <w:p w14:paraId="2343A536">
      <w:pPr>
        <w:pStyle w:val="11"/>
        <w:tabs>
          <w:tab w:val="right" w:leader="dot" w:pos="8306"/>
        </w:tabs>
      </w:pPr>
      <w:r>
        <w:rPr>
          <w:lang w:val="zh-CN"/>
        </w:rPr>
        <w:fldChar w:fldCharType="begin"/>
      </w:r>
      <w:r>
        <w:rPr>
          <w:lang w:val="zh-CN"/>
        </w:rPr>
        <w:instrText xml:space="preserve"> HYPERLINK \l _Toc25167 </w:instrText>
      </w:r>
      <w:r>
        <w:rPr>
          <w:lang w:val="zh-CN"/>
        </w:rPr>
        <w:fldChar w:fldCharType="separate"/>
      </w:r>
      <w:r>
        <w:rPr>
          <w:rFonts w:hint="eastAsia" w:eastAsia="黑体"/>
          <w:bCs/>
          <w:szCs w:val="28"/>
        </w:rPr>
        <w:t>1</w:t>
      </w:r>
      <w:r>
        <w:rPr>
          <w:rFonts w:eastAsia="黑体"/>
          <w:bCs/>
          <w:szCs w:val="28"/>
        </w:rPr>
        <w:t xml:space="preserve">.4 </w:t>
      </w:r>
      <w:r>
        <w:rPr>
          <w:rFonts w:hint="eastAsia" w:eastAsia="黑体"/>
          <w:bCs/>
          <w:szCs w:val="28"/>
        </w:rPr>
        <w:t>本文的研究内容、思路与方法</w:t>
      </w:r>
      <w:r>
        <w:tab/>
      </w:r>
      <w:r>
        <w:fldChar w:fldCharType="begin"/>
      </w:r>
      <w:r>
        <w:instrText xml:space="preserve"> PAGEREF _Toc25167 \h </w:instrText>
      </w:r>
      <w:r>
        <w:fldChar w:fldCharType="separate"/>
      </w:r>
      <w:r>
        <w:t>3</w:t>
      </w:r>
      <w:r>
        <w:fldChar w:fldCharType="end"/>
      </w:r>
      <w:r>
        <w:rPr>
          <w:lang w:val="zh-CN"/>
        </w:rPr>
        <w:fldChar w:fldCharType="end"/>
      </w:r>
    </w:p>
    <w:p w14:paraId="5C453B42">
      <w:pPr>
        <w:pStyle w:val="7"/>
        <w:tabs>
          <w:tab w:val="right" w:leader="dot" w:pos="8306"/>
        </w:tabs>
      </w:pPr>
      <w:r>
        <w:rPr>
          <w:lang w:val="zh-CN"/>
        </w:rPr>
        <w:fldChar w:fldCharType="begin"/>
      </w:r>
      <w:r>
        <w:rPr>
          <w:lang w:val="zh-CN"/>
        </w:rPr>
        <w:instrText xml:space="preserve"> HYPERLINK \l _Toc2206 </w:instrText>
      </w:r>
      <w:r>
        <w:rPr>
          <w:lang w:val="zh-CN"/>
        </w:rPr>
        <w:fldChar w:fldCharType="separate"/>
      </w:r>
      <w:r>
        <w:rPr>
          <w:rFonts w:hint="eastAsia" w:ascii="Times New Roman" w:hAnsi="Times New Roman" w:eastAsia="黑体" w:cs="Times New Roman"/>
          <w:bCs/>
          <w:lang w:val="en-US" w:eastAsia="zh-CN"/>
        </w:rPr>
        <w:t>1.4.1 研究内容</w:t>
      </w:r>
      <w:r>
        <w:tab/>
      </w:r>
      <w:r>
        <w:fldChar w:fldCharType="begin"/>
      </w:r>
      <w:r>
        <w:instrText xml:space="preserve"> PAGEREF _Toc2206 \h </w:instrText>
      </w:r>
      <w:r>
        <w:fldChar w:fldCharType="separate"/>
      </w:r>
      <w:r>
        <w:t>3</w:t>
      </w:r>
      <w:r>
        <w:fldChar w:fldCharType="end"/>
      </w:r>
      <w:r>
        <w:rPr>
          <w:lang w:val="zh-CN"/>
        </w:rPr>
        <w:fldChar w:fldCharType="end"/>
      </w:r>
    </w:p>
    <w:p w14:paraId="5C54338B">
      <w:pPr>
        <w:pStyle w:val="7"/>
        <w:tabs>
          <w:tab w:val="right" w:leader="dot" w:pos="8306"/>
        </w:tabs>
      </w:pPr>
      <w:r>
        <w:rPr>
          <w:lang w:val="zh-CN"/>
        </w:rPr>
        <w:fldChar w:fldCharType="begin"/>
      </w:r>
      <w:r>
        <w:rPr>
          <w:lang w:val="zh-CN"/>
        </w:rPr>
        <w:instrText xml:space="preserve"> HYPERLINK \l _Toc13114 </w:instrText>
      </w:r>
      <w:r>
        <w:rPr>
          <w:lang w:val="zh-CN"/>
        </w:rPr>
        <w:fldChar w:fldCharType="separate"/>
      </w:r>
      <w:r>
        <w:rPr>
          <w:rFonts w:hint="eastAsia" w:ascii="Times New Roman" w:hAnsi="Times New Roman" w:eastAsia="黑体" w:cs="Times New Roman"/>
          <w:bCs/>
          <w:lang w:val="en-US" w:eastAsia="zh-CN"/>
        </w:rPr>
        <w:t>1.4.2 研究思路</w:t>
      </w:r>
      <w:r>
        <w:tab/>
      </w:r>
      <w:r>
        <w:fldChar w:fldCharType="begin"/>
      </w:r>
      <w:r>
        <w:instrText xml:space="preserve"> PAGEREF _Toc13114 \h </w:instrText>
      </w:r>
      <w:r>
        <w:fldChar w:fldCharType="separate"/>
      </w:r>
      <w:r>
        <w:t>4</w:t>
      </w:r>
      <w:r>
        <w:fldChar w:fldCharType="end"/>
      </w:r>
      <w:r>
        <w:rPr>
          <w:lang w:val="zh-CN"/>
        </w:rPr>
        <w:fldChar w:fldCharType="end"/>
      </w:r>
    </w:p>
    <w:p w14:paraId="061611F9">
      <w:pPr>
        <w:pStyle w:val="7"/>
        <w:tabs>
          <w:tab w:val="right" w:leader="dot" w:pos="8306"/>
        </w:tabs>
      </w:pPr>
      <w:r>
        <w:rPr>
          <w:lang w:val="zh-CN"/>
        </w:rPr>
        <w:fldChar w:fldCharType="begin"/>
      </w:r>
      <w:r>
        <w:rPr>
          <w:lang w:val="zh-CN"/>
        </w:rPr>
        <w:instrText xml:space="preserve"> HYPERLINK \l _Toc4671 </w:instrText>
      </w:r>
      <w:r>
        <w:rPr>
          <w:lang w:val="zh-CN"/>
        </w:rPr>
        <w:fldChar w:fldCharType="separate"/>
      </w:r>
      <w:r>
        <w:rPr>
          <w:rFonts w:hint="eastAsia" w:ascii="Times New Roman" w:hAnsi="Times New Roman" w:eastAsia="黑体" w:cs="Times New Roman"/>
          <w:bCs/>
          <w:lang w:val="en-US" w:eastAsia="zh-CN"/>
        </w:rPr>
        <w:t>1.4.3 研究方法</w:t>
      </w:r>
      <w:r>
        <w:tab/>
      </w:r>
      <w:r>
        <w:fldChar w:fldCharType="begin"/>
      </w:r>
      <w:r>
        <w:instrText xml:space="preserve"> PAGEREF _Toc4671 \h </w:instrText>
      </w:r>
      <w:r>
        <w:fldChar w:fldCharType="separate"/>
      </w:r>
      <w:r>
        <w:t>4</w:t>
      </w:r>
      <w:r>
        <w:fldChar w:fldCharType="end"/>
      </w:r>
      <w:r>
        <w:rPr>
          <w:lang w:val="zh-CN"/>
        </w:rPr>
        <w:fldChar w:fldCharType="end"/>
      </w:r>
    </w:p>
    <w:p w14:paraId="5B03C0FB">
      <w:pPr>
        <w:pStyle w:val="11"/>
        <w:tabs>
          <w:tab w:val="right" w:leader="dot" w:pos="8306"/>
        </w:tabs>
      </w:pPr>
      <w:r>
        <w:rPr>
          <w:lang w:val="zh-CN"/>
        </w:rPr>
        <w:fldChar w:fldCharType="begin"/>
      </w:r>
      <w:r>
        <w:rPr>
          <w:lang w:val="zh-CN"/>
        </w:rPr>
        <w:instrText xml:space="preserve"> HYPERLINK \l _Toc29265 </w:instrText>
      </w:r>
      <w:r>
        <w:rPr>
          <w:lang w:val="zh-CN"/>
        </w:rPr>
        <w:fldChar w:fldCharType="separate"/>
      </w:r>
      <w:r>
        <w:rPr>
          <w:rFonts w:eastAsia="黑体"/>
          <w:bCs/>
          <w:szCs w:val="28"/>
        </w:rPr>
        <w:t xml:space="preserve">2.1 </w:t>
      </w:r>
      <w:r>
        <w:rPr>
          <w:rFonts w:hint="eastAsia" w:eastAsia="黑体"/>
          <w:bCs/>
          <w:szCs w:val="28"/>
        </w:rPr>
        <w:t>K-Means区域划分方法</w:t>
      </w:r>
      <w:r>
        <w:tab/>
      </w:r>
      <w:r>
        <w:fldChar w:fldCharType="begin"/>
      </w:r>
      <w:r>
        <w:instrText xml:space="preserve"> PAGEREF _Toc29265 \h </w:instrText>
      </w:r>
      <w:r>
        <w:fldChar w:fldCharType="separate"/>
      </w:r>
      <w:r>
        <w:t>5</w:t>
      </w:r>
      <w:r>
        <w:fldChar w:fldCharType="end"/>
      </w:r>
      <w:r>
        <w:rPr>
          <w:lang w:val="zh-CN"/>
        </w:rPr>
        <w:fldChar w:fldCharType="end"/>
      </w:r>
    </w:p>
    <w:p w14:paraId="58BD7658">
      <w:pPr>
        <w:pStyle w:val="11"/>
        <w:tabs>
          <w:tab w:val="right" w:leader="dot" w:pos="8306"/>
        </w:tabs>
      </w:pPr>
      <w:r>
        <w:rPr>
          <w:lang w:val="zh-CN"/>
        </w:rPr>
        <w:fldChar w:fldCharType="begin"/>
      </w:r>
      <w:r>
        <w:rPr>
          <w:lang w:val="zh-CN"/>
        </w:rPr>
        <w:instrText xml:space="preserve"> HYPERLINK \l _Toc19881 </w:instrText>
      </w:r>
      <w:r>
        <w:rPr>
          <w:lang w:val="zh-CN"/>
        </w:rPr>
        <w:fldChar w:fldCharType="separate"/>
      </w:r>
      <w:r>
        <w:rPr>
          <w:rFonts w:hint="eastAsia" w:ascii="Times New Roman" w:hAnsi="Times New Roman" w:eastAsia="黑体" w:cs="Times New Roman"/>
          <w:bCs/>
          <w:szCs w:val="28"/>
          <w:lang w:val="en-US" w:eastAsia="zh-CN"/>
        </w:rPr>
        <w:t>2.2 数据集与预处理</w:t>
      </w:r>
      <w:r>
        <w:tab/>
      </w:r>
      <w:r>
        <w:fldChar w:fldCharType="begin"/>
      </w:r>
      <w:r>
        <w:instrText xml:space="preserve"> PAGEREF _Toc19881 \h </w:instrText>
      </w:r>
      <w:r>
        <w:fldChar w:fldCharType="separate"/>
      </w:r>
      <w:r>
        <w:t>5</w:t>
      </w:r>
      <w:r>
        <w:fldChar w:fldCharType="end"/>
      </w:r>
      <w:r>
        <w:rPr>
          <w:lang w:val="zh-CN"/>
        </w:rPr>
        <w:fldChar w:fldCharType="end"/>
      </w:r>
    </w:p>
    <w:p w14:paraId="58039D7D">
      <w:pPr>
        <w:pStyle w:val="7"/>
        <w:tabs>
          <w:tab w:val="right" w:leader="dot" w:pos="8306"/>
        </w:tabs>
      </w:pPr>
      <w:r>
        <w:rPr>
          <w:lang w:val="zh-CN"/>
        </w:rPr>
        <w:fldChar w:fldCharType="begin"/>
      </w:r>
      <w:r>
        <w:rPr>
          <w:lang w:val="zh-CN"/>
        </w:rPr>
        <w:instrText xml:space="preserve"> HYPERLINK \l _Toc12321 </w:instrText>
      </w:r>
      <w:r>
        <w:rPr>
          <w:lang w:val="zh-CN"/>
        </w:rPr>
        <w:fldChar w:fldCharType="separate"/>
      </w:r>
      <w:r>
        <w:rPr>
          <w:rFonts w:hint="eastAsia" w:ascii="Times New Roman" w:hAnsi="Times New Roman" w:eastAsia="黑体" w:cs="Times New Roman"/>
          <w:bCs/>
          <w:kern w:val="2"/>
          <w:szCs w:val="24"/>
          <w:lang w:val="en-US" w:eastAsia="zh-CN" w:bidi="ar-SA"/>
        </w:rPr>
        <w:t>2.2.1 去除异常值</w:t>
      </w:r>
      <w:r>
        <w:tab/>
      </w:r>
      <w:r>
        <w:fldChar w:fldCharType="begin"/>
      </w:r>
      <w:r>
        <w:instrText xml:space="preserve"> PAGEREF _Toc12321 \h </w:instrText>
      </w:r>
      <w:r>
        <w:fldChar w:fldCharType="separate"/>
      </w:r>
      <w:r>
        <w:t>6</w:t>
      </w:r>
      <w:r>
        <w:fldChar w:fldCharType="end"/>
      </w:r>
      <w:r>
        <w:rPr>
          <w:lang w:val="zh-CN"/>
        </w:rPr>
        <w:fldChar w:fldCharType="end"/>
      </w:r>
    </w:p>
    <w:p w14:paraId="4D1BF651">
      <w:pPr>
        <w:pStyle w:val="7"/>
        <w:tabs>
          <w:tab w:val="right" w:leader="dot" w:pos="8306"/>
        </w:tabs>
      </w:pPr>
      <w:r>
        <w:rPr>
          <w:lang w:val="zh-CN"/>
        </w:rPr>
        <w:fldChar w:fldCharType="begin"/>
      </w:r>
      <w:r>
        <w:rPr>
          <w:lang w:val="zh-CN"/>
        </w:rPr>
        <w:instrText xml:space="preserve"> HYPERLINK \l _Toc13738 </w:instrText>
      </w:r>
      <w:r>
        <w:rPr>
          <w:lang w:val="zh-CN"/>
        </w:rPr>
        <w:fldChar w:fldCharType="separate"/>
      </w:r>
      <w:r>
        <w:rPr>
          <w:rFonts w:hint="eastAsia" w:ascii="Times New Roman" w:hAnsi="Times New Roman" w:eastAsia="黑体" w:cs="Times New Roman"/>
          <w:bCs/>
          <w:kern w:val="2"/>
          <w:szCs w:val="24"/>
          <w:lang w:val="en-US" w:eastAsia="zh-CN" w:bidi="ar-SA"/>
        </w:rPr>
        <w:t>2.2.2 数据归一化</w:t>
      </w:r>
      <w:r>
        <w:tab/>
      </w:r>
      <w:r>
        <w:fldChar w:fldCharType="begin"/>
      </w:r>
      <w:r>
        <w:instrText xml:space="preserve"> PAGEREF _Toc13738 \h </w:instrText>
      </w:r>
      <w:r>
        <w:fldChar w:fldCharType="separate"/>
      </w:r>
      <w:r>
        <w:t>6</w:t>
      </w:r>
      <w:r>
        <w:fldChar w:fldCharType="end"/>
      </w:r>
      <w:r>
        <w:rPr>
          <w:lang w:val="zh-CN"/>
        </w:rPr>
        <w:fldChar w:fldCharType="end"/>
      </w:r>
    </w:p>
    <w:p w14:paraId="3546CBC5">
      <w:pPr>
        <w:pStyle w:val="7"/>
        <w:tabs>
          <w:tab w:val="right" w:leader="dot" w:pos="8306"/>
        </w:tabs>
      </w:pPr>
      <w:r>
        <w:rPr>
          <w:lang w:val="zh-CN"/>
        </w:rPr>
        <w:fldChar w:fldCharType="begin"/>
      </w:r>
      <w:r>
        <w:rPr>
          <w:lang w:val="zh-CN"/>
        </w:rPr>
        <w:instrText xml:space="preserve"> HYPERLINK \l _Toc16110 </w:instrText>
      </w:r>
      <w:r>
        <w:rPr>
          <w:lang w:val="zh-CN"/>
        </w:rPr>
        <w:fldChar w:fldCharType="separate"/>
      </w:r>
      <w:r>
        <w:rPr>
          <w:rFonts w:hint="eastAsia" w:ascii="Times New Roman" w:hAnsi="Times New Roman" w:eastAsia="黑体" w:cs="Times New Roman"/>
          <w:bCs/>
          <w:kern w:val="2"/>
          <w:szCs w:val="24"/>
          <w:lang w:val="en-US" w:eastAsia="zh-CN" w:bidi="ar-SA"/>
        </w:rPr>
        <w:t>2.2.3 最终效果展示</w:t>
      </w:r>
      <w:r>
        <w:tab/>
      </w:r>
      <w:r>
        <w:fldChar w:fldCharType="begin"/>
      </w:r>
      <w:r>
        <w:instrText xml:space="preserve"> PAGEREF _Toc16110 \h </w:instrText>
      </w:r>
      <w:r>
        <w:fldChar w:fldCharType="separate"/>
      </w:r>
      <w:r>
        <w:t>6</w:t>
      </w:r>
      <w:r>
        <w:fldChar w:fldCharType="end"/>
      </w:r>
      <w:r>
        <w:rPr>
          <w:lang w:val="zh-CN"/>
        </w:rPr>
        <w:fldChar w:fldCharType="end"/>
      </w:r>
    </w:p>
    <w:p w14:paraId="2E0B84CC">
      <w:pPr>
        <w:pStyle w:val="10"/>
        <w:tabs>
          <w:tab w:val="right" w:leader="dot" w:pos="8306"/>
          <w:tab w:val="clear" w:pos="8296"/>
        </w:tabs>
      </w:pPr>
      <w:r>
        <w:rPr>
          <w:lang w:val="zh-CN"/>
        </w:rPr>
        <w:fldChar w:fldCharType="begin"/>
      </w:r>
      <w:r>
        <w:rPr>
          <w:lang w:val="zh-CN"/>
        </w:rPr>
        <w:instrText xml:space="preserve"> HYPERLINK \l _Toc13175 </w:instrText>
      </w:r>
      <w:r>
        <w:rPr>
          <w:lang w:val="zh-CN"/>
        </w:rPr>
        <w:fldChar w:fldCharType="separate"/>
      </w:r>
      <w:r>
        <w:rPr>
          <w:rFonts w:eastAsia="黑体"/>
          <w:bCs/>
          <w:szCs w:val="30"/>
        </w:rPr>
        <w:t xml:space="preserve">3 </w:t>
      </w:r>
      <w:r>
        <w:rPr>
          <w:rFonts w:hint="eastAsia" w:eastAsia="黑体"/>
          <w:bCs/>
          <w:szCs w:val="30"/>
        </w:rPr>
        <w:t>采集药品配送路径选择</w:t>
      </w:r>
      <w:r>
        <w:tab/>
      </w:r>
      <w:r>
        <w:fldChar w:fldCharType="begin"/>
      </w:r>
      <w:r>
        <w:instrText xml:space="preserve"> PAGEREF _Toc13175 \h </w:instrText>
      </w:r>
      <w:r>
        <w:fldChar w:fldCharType="separate"/>
      </w:r>
      <w:r>
        <w:t>7</w:t>
      </w:r>
      <w:r>
        <w:fldChar w:fldCharType="end"/>
      </w:r>
      <w:r>
        <w:rPr>
          <w:lang w:val="zh-CN"/>
        </w:rPr>
        <w:fldChar w:fldCharType="end"/>
      </w:r>
    </w:p>
    <w:p w14:paraId="7B324614">
      <w:pPr>
        <w:pStyle w:val="11"/>
        <w:tabs>
          <w:tab w:val="right" w:leader="dot" w:pos="8306"/>
        </w:tabs>
      </w:pPr>
      <w:r>
        <w:rPr>
          <w:lang w:val="zh-CN"/>
        </w:rPr>
        <w:fldChar w:fldCharType="begin"/>
      </w:r>
      <w:r>
        <w:rPr>
          <w:lang w:val="zh-CN"/>
        </w:rPr>
        <w:instrText xml:space="preserve"> HYPERLINK \l _Toc19216 </w:instrText>
      </w:r>
      <w:r>
        <w:rPr>
          <w:lang w:val="zh-CN"/>
        </w:rPr>
        <w:fldChar w:fldCharType="separate"/>
      </w:r>
      <w:r>
        <w:rPr>
          <w:rFonts w:eastAsia="黑体"/>
          <w:bCs/>
          <w:szCs w:val="28"/>
        </w:rPr>
        <w:t xml:space="preserve">3.1 </w:t>
      </w:r>
      <w:r>
        <w:rPr>
          <w:rFonts w:hint="eastAsia" w:eastAsia="黑体"/>
          <w:bCs/>
          <w:szCs w:val="28"/>
        </w:rPr>
        <w:t>构建约束条件</w:t>
      </w:r>
      <w:r>
        <w:tab/>
      </w:r>
      <w:r>
        <w:fldChar w:fldCharType="begin"/>
      </w:r>
      <w:r>
        <w:instrText xml:space="preserve"> PAGEREF _Toc19216 \h </w:instrText>
      </w:r>
      <w:r>
        <w:fldChar w:fldCharType="separate"/>
      </w:r>
      <w:r>
        <w:t>7</w:t>
      </w:r>
      <w:r>
        <w:fldChar w:fldCharType="end"/>
      </w:r>
      <w:r>
        <w:rPr>
          <w:lang w:val="zh-CN"/>
        </w:rPr>
        <w:fldChar w:fldCharType="end"/>
      </w:r>
    </w:p>
    <w:p w14:paraId="7CDFF2F2">
      <w:pPr>
        <w:pStyle w:val="11"/>
        <w:tabs>
          <w:tab w:val="right" w:leader="dot" w:pos="8306"/>
        </w:tabs>
      </w:pPr>
      <w:r>
        <w:rPr>
          <w:lang w:val="zh-CN"/>
        </w:rPr>
        <w:fldChar w:fldCharType="begin"/>
      </w:r>
      <w:r>
        <w:rPr>
          <w:lang w:val="zh-CN"/>
        </w:rPr>
        <w:instrText xml:space="preserve"> HYPERLINK \l _Toc29207 </w:instrText>
      </w:r>
      <w:r>
        <w:rPr>
          <w:lang w:val="zh-CN"/>
        </w:rPr>
        <w:fldChar w:fldCharType="separate"/>
      </w:r>
      <w:r>
        <w:rPr>
          <w:rFonts w:hint="eastAsia" w:ascii="Times New Roman" w:hAnsi="Times New Roman" w:eastAsia="黑体" w:cs="Times New Roman"/>
          <w:bCs/>
          <w:szCs w:val="28"/>
          <w:lang w:val="en-US" w:eastAsia="zh-CN"/>
        </w:rPr>
        <w:t>3.2 模拟需求量</w:t>
      </w:r>
      <w:r>
        <w:tab/>
      </w:r>
      <w:r>
        <w:fldChar w:fldCharType="begin"/>
      </w:r>
      <w:r>
        <w:instrText xml:space="preserve"> PAGEREF _Toc29207 \h </w:instrText>
      </w:r>
      <w:r>
        <w:fldChar w:fldCharType="separate"/>
      </w:r>
      <w:r>
        <w:t>8</w:t>
      </w:r>
      <w:r>
        <w:fldChar w:fldCharType="end"/>
      </w:r>
      <w:r>
        <w:rPr>
          <w:lang w:val="zh-CN"/>
        </w:rPr>
        <w:fldChar w:fldCharType="end"/>
      </w:r>
    </w:p>
    <w:p w14:paraId="6D290593">
      <w:pPr>
        <w:pStyle w:val="7"/>
        <w:tabs>
          <w:tab w:val="right" w:leader="dot" w:pos="8306"/>
        </w:tabs>
      </w:pPr>
      <w:r>
        <w:rPr>
          <w:lang w:val="zh-CN"/>
        </w:rPr>
        <w:fldChar w:fldCharType="begin"/>
      </w:r>
      <w:r>
        <w:rPr>
          <w:lang w:val="zh-CN"/>
        </w:rPr>
        <w:instrText xml:space="preserve"> HYPERLINK \l _Toc2876 </w:instrText>
      </w:r>
      <w:r>
        <w:rPr>
          <w:lang w:val="zh-CN"/>
        </w:rPr>
        <w:fldChar w:fldCharType="separate"/>
      </w:r>
      <w:r>
        <w:rPr>
          <w:rFonts w:hint="eastAsia" w:ascii="Times New Roman" w:hAnsi="Times New Roman" w:eastAsia="黑体" w:cs="Times New Roman"/>
          <w:bCs/>
          <w:lang w:val="en-US" w:eastAsia="zh-CN"/>
        </w:rPr>
        <w:t>3.2.1 参数设定</w:t>
      </w:r>
      <w:r>
        <w:tab/>
      </w:r>
      <w:r>
        <w:fldChar w:fldCharType="begin"/>
      </w:r>
      <w:r>
        <w:instrText xml:space="preserve"> PAGEREF _Toc2876 \h </w:instrText>
      </w:r>
      <w:r>
        <w:fldChar w:fldCharType="separate"/>
      </w:r>
      <w:r>
        <w:t>8</w:t>
      </w:r>
      <w:r>
        <w:fldChar w:fldCharType="end"/>
      </w:r>
      <w:r>
        <w:rPr>
          <w:lang w:val="zh-CN"/>
        </w:rPr>
        <w:fldChar w:fldCharType="end"/>
      </w:r>
    </w:p>
    <w:p w14:paraId="1AA73713">
      <w:pPr>
        <w:pStyle w:val="7"/>
        <w:tabs>
          <w:tab w:val="right" w:leader="dot" w:pos="8306"/>
        </w:tabs>
      </w:pPr>
      <w:r>
        <w:rPr>
          <w:lang w:val="zh-CN"/>
        </w:rPr>
        <w:fldChar w:fldCharType="begin"/>
      </w:r>
      <w:r>
        <w:rPr>
          <w:lang w:val="zh-CN"/>
        </w:rPr>
        <w:instrText xml:space="preserve"> HYPERLINK \l _Toc19985 </w:instrText>
      </w:r>
      <w:r>
        <w:rPr>
          <w:lang w:val="zh-CN"/>
        </w:rPr>
        <w:fldChar w:fldCharType="separate"/>
      </w:r>
      <w:r>
        <w:rPr>
          <w:rFonts w:hint="eastAsia" w:ascii="Times New Roman" w:hAnsi="Times New Roman" w:eastAsia="黑体" w:cs="Times New Roman"/>
          <w:bCs/>
          <w:lang w:val="en-US" w:eastAsia="zh-CN"/>
        </w:rPr>
        <w:t>3.2.2 需求量计算</w:t>
      </w:r>
      <w:r>
        <w:tab/>
      </w:r>
      <w:r>
        <w:fldChar w:fldCharType="begin"/>
      </w:r>
      <w:r>
        <w:instrText xml:space="preserve"> PAGEREF _Toc19985 \h </w:instrText>
      </w:r>
      <w:r>
        <w:fldChar w:fldCharType="separate"/>
      </w:r>
      <w:r>
        <w:t>8</w:t>
      </w:r>
      <w:r>
        <w:fldChar w:fldCharType="end"/>
      </w:r>
      <w:r>
        <w:rPr>
          <w:lang w:val="zh-CN"/>
        </w:rPr>
        <w:fldChar w:fldCharType="end"/>
      </w:r>
    </w:p>
    <w:p w14:paraId="2F7DEDBB">
      <w:pPr>
        <w:pStyle w:val="11"/>
        <w:tabs>
          <w:tab w:val="right" w:leader="dot" w:pos="8306"/>
        </w:tabs>
      </w:pPr>
      <w:r>
        <w:rPr>
          <w:lang w:val="zh-CN"/>
        </w:rPr>
        <w:fldChar w:fldCharType="begin"/>
      </w:r>
      <w:r>
        <w:rPr>
          <w:lang w:val="zh-CN"/>
        </w:rPr>
        <w:instrText xml:space="preserve"> HYPERLINK \l _Toc28663 </w:instrText>
      </w:r>
      <w:r>
        <w:rPr>
          <w:lang w:val="zh-CN"/>
        </w:rPr>
        <w:fldChar w:fldCharType="separate"/>
      </w:r>
      <w:r>
        <w:rPr>
          <w:rFonts w:hint="eastAsia" w:ascii="Times New Roman" w:hAnsi="Times New Roman" w:eastAsia="黑体" w:cs="Times New Roman"/>
          <w:bCs/>
          <w:szCs w:val="28"/>
          <w:lang w:val="en-US" w:eastAsia="zh-CN"/>
        </w:rPr>
        <w:t>3.3 约束条件公式</w:t>
      </w:r>
      <w:r>
        <w:tab/>
      </w:r>
      <w:r>
        <w:fldChar w:fldCharType="begin"/>
      </w:r>
      <w:r>
        <w:instrText xml:space="preserve"> PAGEREF _Toc28663 \h </w:instrText>
      </w:r>
      <w:r>
        <w:fldChar w:fldCharType="separate"/>
      </w:r>
      <w:r>
        <w:t>8</w:t>
      </w:r>
      <w:r>
        <w:fldChar w:fldCharType="end"/>
      </w:r>
      <w:r>
        <w:rPr>
          <w:lang w:val="zh-CN"/>
        </w:rPr>
        <w:fldChar w:fldCharType="end"/>
      </w:r>
    </w:p>
    <w:p w14:paraId="17AAD9DD">
      <w:pPr>
        <w:pStyle w:val="7"/>
        <w:tabs>
          <w:tab w:val="right" w:leader="dot" w:pos="8306"/>
        </w:tabs>
      </w:pPr>
      <w:r>
        <w:rPr>
          <w:lang w:val="zh-CN"/>
        </w:rPr>
        <w:fldChar w:fldCharType="begin"/>
      </w:r>
      <w:r>
        <w:rPr>
          <w:lang w:val="zh-CN"/>
        </w:rPr>
        <w:instrText xml:space="preserve"> HYPERLINK \l _Toc19334 </w:instrText>
      </w:r>
      <w:r>
        <w:rPr>
          <w:lang w:val="zh-CN"/>
        </w:rPr>
        <w:fldChar w:fldCharType="separate"/>
      </w:r>
      <w:r>
        <w:rPr>
          <w:rFonts w:hint="eastAsia" w:ascii="Times New Roman" w:hAnsi="Times New Roman" w:eastAsia="黑体" w:cs="Times New Roman"/>
          <w:bCs/>
          <w:lang w:val="en-US" w:eastAsia="zh-CN"/>
        </w:rPr>
        <w:t>3.3.1 载重和容量约束</w:t>
      </w:r>
      <w:r>
        <w:tab/>
      </w:r>
      <w:r>
        <w:fldChar w:fldCharType="begin"/>
      </w:r>
      <w:r>
        <w:instrText xml:space="preserve"> PAGEREF _Toc19334 \h </w:instrText>
      </w:r>
      <w:r>
        <w:fldChar w:fldCharType="separate"/>
      </w:r>
      <w:r>
        <w:t>8</w:t>
      </w:r>
      <w:r>
        <w:fldChar w:fldCharType="end"/>
      </w:r>
      <w:r>
        <w:rPr>
          <w:lang w:val="zh-CN"/>
        </w:rPr>
        <w:fldChar w:fldCharType="end"/>
      </w:r>
    </w:p>
    <w:p w14:paraId="1B1BF268">
      <w:pPr>
        <w:pStyle w:val="7"/>
        <w:tabs>
          <w:tab w:val="right" w:leader="dot" w:pos="8306"/>
        </w:tabs>
      </w:pPr>
      <w:r>
        <w:rPr>
          <w:lang w:val="zh-CN"/>
        </w:rPr>
        <w:fldChar w:fldCharType="begin"/>
      </w:r>
      <w:r>
        <w:rPr>
          <w:lang w:val="zh-CN"/>
        </w:rPr>
        <w:instrText xml:space="preserve"> HYPERLINK \l _Toc13257 </w:instrText>
      </w:r>
      <w:r>
        <w:rPr>
          <w:lang w:val="zh-CN"/>
        </w:rPr>
        <w:fldChar w:fldCharType="separate"/>
      </w:r>
      <w:r>
        <w:rPr>
          <w:rFonts w:hint="eastAsia" w:ascii="Times New Roman" w:hAnsi="Times New Roman" w:eastAsia="黑体" w:cs="Times New Roman"/>
          <w:bCs/>
          <w:lang w:val="en-US" w:eastAsia="zh-CN"/>
        </w:rPr>
        <w:t>3.3.2 访问约束</w:t>
      </w:r>
      <w:r>
        <w:tab/>
      </w:r>
      <w:r>
        <w:fldChar w:fldCharType="begin"/>
      </w:r>
      <w:r>
        <w:instrText xml:space="preserve"> PAGEREF _Toc13257 \h </w:instrText>
      </w:r>
      <w:r>
        <w:fldChar w:fldCharType="separate"/>
      </w:r>
      <w:r>
        <w:t>9</w:t>
      </w:r>
      <w:r>
        <w:fldChar w:fldCharType="end"/>
      </w:r>
      <w:r>
        <w:rPr>
          <w:lang w:val="zh-CN"/>
        </w:rPr>
        <w:fldChar w:fldCharType="end"/>
      </w:r>
    </w:p>
    <w:p w14:paraId="002B76B6">
      <w:pPr>
        <w:pStyle w:val="7"/>
        <w:tabs>
          <w:tab w:val="right" w:leader="dot" w:pos="8306"/>
        </w:tabs>
      </w:pPr>
      <w:r>
        <w:rPr>
          <w:lang w:val="zh-CN"/>
        </w:rPr>
        <w:fldChar w:fldCharType="begin"/>
      </w:r>
      <w:r>
        <w:rPr>
          <w:lang w:val="zh-CN"/>
        </w:rPr>
        <w:instrText xml:space="preserve"> HYPERLINK \l _Toc3616 </w:instrText>
      </w:r>
      <w:r>
        <w:rPr>
          <w:lang w:val="zh-CN"/>
        </w:rPr>
        <w:fldChar w:fldCharType="separate"/>
      </w:r>
      <w:r>
        <w:rPr>
          <w:rFonts w:hint="eastAsia" w:ascii="Times New Roman" w:hAnsi="Times New Roman" w:eastAsia="黑体" w:cs="Times New Roman"/>
          <w:bCs/>
          <w:lang w:val="en-US" w:eastAsia="zh-CN"/>
        </w:rPr>
        <w:t>3.3.3 闭合回路约束</w:t>
      </w:r>
      <w:r>
        <w:tab/>
      </w:r>
      <w:r>
        <w:fldChar w:fldCharType="begin"/>
      </w:r>
      <w:r>
        <w:instrText xml:space="preserve"> PAGEREF _Toc3616 \h </w:instrText>
      </w:r>
      <w:r>
        <w:fldChar w:fldCharType="separate"/>
      </w:r>
      <w:r>
        <w:t>9</w:t>
      </w:r>
      <w:r>
        <w:fldChar w:fldCharType="end"/>
      </w:r>
      <w:r>
        <w:rPr>
          <w:lang w:val="zh-CN"/>
        </w:rPr>
        <w:fldChar w:fldCharType="end"/>
      </w:r>
    </w:p>
    <w:p w14:paraId="01698392">
      <w:pPr>
        <w:pStyle w:val="10"/>
        <w:tabs>
          <w:tab w:val="right" w:leader="dot" w:pos="8306"/>
          <w:tab w:val="clear" w:pos="8296"/>
        </w:tabs>
      </w:pPr>
      <w:r>
        <w:rPr>
          <w:lang w:val="zh-CN"/>
        </w:rPr>
        <w:fldChar w:fldCharType="begin"/>
      </w:r>
      <w:r>
        <w:rPr>
          <w:lang w:val="zh-CN"/>
        </w:rPr>
        <w:instrText xml:space="preserve"> HYPERLINK \l _Toc31213 </w:instrText>
      </w:r>
      <w:r>
        <w:rPr>
          <w:lang w:val="zh-CN"/>
        </w:rPr>
        <w:fldChar w:fldCharType="separate"/>
      </w:r>
      <w:r>
        <w:rPr>
          <w:rFonts w:hint="eastAsia" w:eastAsia="黑体"/>
          <w:bCs/>
          <w:szCs w:val="30"/>
        </w:rPr>
        <w:t xml:space="preserve">4 </w:t>
      </w:r>
      <w:r>
        <w:rPr>
          <w:rFonts w:hint="eastAsia" w:eastAsia="黑体"/>
          <w:bCs/>
          <w:szCs w:val="30"/>
          <w:lang w:val="en-US" w:eastAsia="zh-CN"/>
        </w:rPr>
        <w:t>结果评估</w:t>
      </w:r>
      <w:r>
        <w:tab/>
      </w:r>
      <w:r>
        <w:fldChar w:fldCharType="begin"/>
      </w:r>
      <w:r>
        <w:instrText xml:space="preserve"> PAGEREF _Toc31213 \h </w:instrText>
      </w:r>
      <w:r>
        <w:fldChar w:fldCharType="separate"/>
      </w:r>
      <w:r>
        <w:t>10</w:t>
      </w:r>
      <w:r>
        <w:fldChar w:fldCharType="end"/>
      </w:r>
      <w:r>
        <w:rPr>
          <w:lang w:val="zh-CN"/>
        </w:rPr>
        <w:fldChar w:fldCharType="end"/>
      </w:r>
    </w:p>
    <w:p w14:paraId="58887341">
      <w:pPr>
        <w:pStyle w:val="11"/>
        <w:tabs>
          <w:tab w:val="right" w:leader="dot" w:pos="8306"/>
        </w:tabs>
      </w:pPr>
      <w:r>
        <w:rPr>
          <w:lang w:val="zh-CN"/>
        </w:rPr>
        <w:fldChar w:fldCharType="begin"/>
      </w:r>
      <w:r>
        <w:rPr>
          <w:lang w:val="zh-CN"/>
        </w:rPr>
        <w:instrText xml:space="preserve"> HYPERLINK \l _Toc27007 </w:instrText>
      </w:r>
      <w:r>
        <w:rPr>
          <w:lang w:val="zh-CN"/>
        </w:rPr>
        <w:fldChar w:fldCharType="separate"/>
      </w:r>
      <w:r>
        <w:rPr>
          <w:rFonts w:eastAsia="黑体"/>
          <w:bCs/>
          <w:szCs w:val="28"/>
        </w:rPr>
        <w:t xml:space="preserve">4.1 </w:t>
      </w:r>
      <w:r>
        <w:rPr>
          <w:rFonts w:hint="eastAsia" w:eastAsia="黑体"/>
          <w:bCs/>
          <w:szCs w:val="28"/>
        </w:rPr>
        <w:t>K-MEANS-GA算法结果评估</w:t>
      </w:r>
      <w:r>
        <w:tab/>
      </w:r>
      <w:r>
        <w:fldChar w:fldCharType="begin"/>
      </w:r>
      <w:r>
        <w:instrText xml:space="preserve"> PAGEREF _Toc27007 \h </w:instrText>
      </w:r>
      <w:r>
        <w:fldChar w:fldCharType="separate"/>
      </w:r>
      <w:r>
        <w:t>10</w:t>
      </w:r>
      <w:r>
        <w:fldChar w:fldCharType="end"/>
      </w:r>
      <w:r>
        <w:rPr>
          <w:lang w:val="zh-CN"/>
        </w:rPr>
        <w:fldChar w:fldCharType="end"/>
      </w:r>
    </w:p>
    <w:p w14:paraId="1717901F">
      <w:pPr>
        <w:pStyle w:val="11"/>
        <w:tabs>
          <w:tab w:val="right" w:leader="dot" w:pos="8306"/>
        </w:tabs>
      </w:pPr>
      <w:r>
        <w:rPr>
          <w:lang w:val="zh-CN"/>
        </w:rPr>
        <w:fldChar w:fldCharType="begin"/>
      </w:r>
      <w:r>
        <w:rPr>
          <w:lang w:val="zh-CN"/>
        </w:rPr>
        <w:instrText xml:space="preserve"> HYPERLINK \l _Toc22412 </w:instrText>
      </w:r>
      <w:r>
        <w:rPr>
          <w:lang w:val="zh-CN"/>
        </w:rPr>
        <w:fldChar w:fldCharType="separate"/>
      </w:r>
      <w:r>
        <w:rPr>
          <w:rFonts w:hint="eastAsia" w:eastAsia="黑体"/>
          <w:bCs/>
          <w:szCs w:val="28"/>
          <w:lang w:val="en-US" w:eastAsia="zh-CN"/>
        </w:rPr>
        <w:t>4.2 稳定性分析</w:t>
      </w:r>
      <w:r>
        <w:tab/>
      </w:r>
      <w:r>
        <w:fldChar w:fldCharType="begin"/>
      </w:r>
      <w:r>
        <w:instrText xml:space="preserve"> PAGEREF _Toc22412 \h </w:instrText>
      </w:r>
      <w:r>
        <w:fldChar w:fldCharType="separate"/>
      </w:r>
      <w:r>
        <w:t>10</w:t>
      </w:r>
      <w:r>
        <w:fldChar w:fldCharType="end"/>
      </w:r>
      <w:r>
        <w:rPr>
          <w:lang w:val="zh-CN"/>
        </w:rPr>
        <w:fldChar w:fldCharType="end"/>
      </w:r>
    </w:p>
    <w:p w14:paraId="6F71AD98">
      <w:pPr>
        <w:pStyle w:val="11"/>
        <w:tabs>
          <w:tab w:val="right" w:leader="dot" w:pos="8306"/>
        </w:tabs>
      </w:pPr>
      <w:r>
        <w:rPr>
          <w:lang w:val="zh-CN"/>
        </w:rPr>
        <w:fldChar w:fldCharType="begin"/>
      </w:r>
      <w:r>
        <w:rPr>
          <w:lang w:val="zh-CN"/>
        </w:rPr>
        <w:instrText xml:space="preserve"> HYPERLINK \l _Toc5644 </w:instrText>
      </w:r>
      <w:r>
        <w:rPr>
          <w:lang w:val="zh-CN"/>
        </w:rPr>
        <w:fldChar w:fldCharType="separate"/>
      </w:r>
      <w:r>
        <w:rPr>
          <w:rFonts w:eastAsia="黑体"/>
          <w:bCs/>
          <w:szCs w:val="28"/>
        </w:rPr>
        <w:t>4.</w:t>
      </w:r>
      <w:r>
        <w:rPr>
          <w:rFonts w:hint="eastAsia" w:eastAsia="黑体"/>
          <w:bCs/>
          <w:szCs w:val="28"/>
          <w:lang w:val="en-US" w:eastAsia="zh-CN"/>
        </w:rPr>
        <w:t>3</w:t>
      </w:r>
      <w:r>
        <w:rPr>
          <w:rFonts w:eastAsia="黑体"/>
          <w:bCs/>
          <w:szCs w:val="28"/>
        </w:rPr>
        <w:t xml:space="preserve"> </w:t>
      </w:r>
      <w:r>
        <w:rPr>
          <w:rFonts w:hint="eastAsia" w:eastAsia="黑体"/>
          <w:bCs/>
          <w:szCs w:val="28"/>
        </w:rPr>
        <w:t>与模拟退火模型对比</w:t>
      </w:r>
      <w:r>
        <w:tab/>
      </w:r>
      <w:r>
        <w:fldChar w:fldCharType="begin"/>
      </w:r>
      <w:r>
        <w:instrText xml:space="preserve"> PAGEREF _Toc5644 \h </w:instrText>
      </w:r>
      <w:r>
        <w:fldChar w:fldCharType="separate"/>
      </w:r>
      <w:r>
        <w:t>11</w:t>
      </w:r>
      <w:r>
        <w:fldChar w:fldCharType="end"/>
      </w:r>
      <w:r>
        <w:rPr>
          <w:lang w:val="zh-CN"/>
        </w:rPr>
        <w:fldChar w:fldCharType="end"/>
      </w:r>
    </w:p>
    <w:p w14:paraId="2FBC1473">
      <w:pPr>
        <w:pStyle w:val="11"/>
        <w:tabs>
          <w:tab w:val="right" w:leader="dot" w:pos="8306"/>
        </w:tabs>
      </w:pPr>
      <w:r>
        <w:rPr>
          <w:lang w:val="zh-CN"/>
        </w:rPr>
        <w:fldChar w:fldCharType="begin"/>
      </w:r>
      <w:r>
        <w:rPr>
          <w:lang w:val="zh-CN"/>
        </w:rPr>
        <w:instrText xml:space="preserve"> HYPERLINK \l _Toc17351 </w:instrText>
      </w:r>
      <w:r>
        <w:rPr>
          <w:lang w:val="zh-CN"/>
        </w:rPr>
        <w:fldChar w:fldCharType="separate"/>
      </w:r>
      <w:r>
        <w:rPr>
          <w:rFonts w:hint="eastAsia" w:eastAsia="黑体"/>
          <w:bCs/>
          <w:szCs w:val="28"/>
          <w:lang w:val="en-US" w:eastAsia="zh-CN"/>
        </w:rPr>
        <w:t>4.4 算法复杂度</w:t>
      </w:r>
      <w:r>
        <w:tab/>
      </w:r>
      <w:r>
        <w:fldChar w:fldCharType="begin"/>
      </w:r>
      <w:r>
        <w:instrText xml:space="preserve"> PAGEREF _Toc17351 \h </w:instrText>
      </w:r>
      <w:r>
        <w:fldChar w:fldCharType="separate"/>
      </w:r>
      <w:r>
        <w:t>11</w:t>
      </w:r>
      <w:r>
        <w:fldChar w:fldCharType="end"/>
      </w:r>
      <w:r>
        <w:rPr>
          <w:lang w:val="zh-CN"/>
        </w:rPr>
        <w:fldChar w:fldCharType="end"/>
      </w:r>
    </w:p>
    <w:p w14:paraId="3E111216">
      <w:pPr>
        <w:pStyle w:val="10"/>
        <w:tabs>
          <w:tab w:val="right" w:leader="dot" w:pos="8306"/>
          <w:tab w:val="clear" w:pos="8296"/>
        </w:tabs>
      </w:pPr>
      <w:r>
        <w:rPr>
          <w:lang w:val="zh-CN"/>
        </w:rPr>
        <w:fldChar w:fldCharType="begin"/>
      </w:r>
      <w:r>
        <w:rPr>
          <w:lang w:val="zh-CN"/>
        </w:rPr>
        <w:instrText xml:space="preserve"> HYPERLINK \l _Toc13653 </w:instrText>
      </w:r>
      <w:r>
        <w:rPr>
          <w:lang w:val="zh-CN"/>
        </w:rPr>
        <w:fldChar w:fldCharType="separate"/>
      </w:r>
      <w:r>
        <w:rPr>
          <w:rFonts w:eastAsia="黑体"/>
          <w:bCs/>
          <w:szCs w:val="30"/>
        </w:rPr>
        <w:t xml:space="preserve">5 </w:t>
      </w:r>
      <w:r>
        <w:rPr>
          <w:rFonts w:hint="eastAsia" w:eastAsia="黑体"/>
          <w:bCs/>
          <w:szCs w:val="30"/>
          <w:lang w:val="en-US" w:eastAsia="zh-CN"/>
        </w:rPr>
        <w:t>结论</w:t>
      </w:r>
      <w:r>
        <w:tab/>
      </w:r>
      <w:r>
        <w:fldChar w:fldCharType="begin"/>
      </w:r>
      <w:r>
        <w:instrText xml:space="preserve"> PAGEREF _Toc13653 \h </w:instrText>
      </w:r>
      <w:r>
        <w:fldChar w:fldCharType="separate"/>
      </w:r>
      <w:r>
        <w:t>12</w:t>
      </w:r>
      <w:r>
        <w:fldChar w:fldCharType="end"/>
      </w:r>
      <w:r>
        <w:rPr>
          <w:lang w:val="zh-CN"/>
        </w:rPr>
        <w:fldChar w:fldCharType="end"/>
      </w:r>
    </w:p>
    <w:p w14:paraId="404DE567">
      <w:pPr>
        <w:pStyle w:val="11"/>
        <w:tabs>
          <w:tab w:val="right" w:leader="dot" w:pos="8306"/>
        </w:tabs>
      </w:pPr>
      <w:r>
        <w:rPr>
          <w:lang w:val="zh-CN"/>
        </w:rPr>
        <w:fldChar w:fldCharType="begin"/>
      </w:r>
      <w:r>
        <w:rPr>
          <w:lang w:val="zh-CN"/>
        </w:rPr>
        <w:instrText xml:space="preserve"> HYPERLINK \l _Toc3355 </w:instrText>
      </w:r>
      <w:r>
        <w:rPr>
          <w:lang w:val="zh-CN"/>
        </w:rPr>
        <w:fldChar w:fldCharType="separate"/>
      </w:r>
      <w:r>
        <w:rPr>
          <w:rFonts w:hint="eastAsia" w:eastAsia="黑体"/>
          <w:bCs/>
          <w:szCs w:val="28"/>
          <w:lang w:val="en-US" w:eastAsia="zh-CN"/>
        </w:rPr>
        <w:t>5.1 内容回顾</w:t>
      </w:r>
      <w:r>
        <w:tab/>
      </w:r>
      <w:r>
        <w:fldChar w:fldCharType="begin"/>
      </w:r>
      <w:r>
        <w:instrText xml:space="preserve"> PAGEREF _Toc3355 \h </w:instrText>
      </w:r>
      <w:r>
        <w:fldChar w:fldCharType="separate"/>
      </w:r>
      <w:r>
        <w:t>12</w:t>
      </w:r>
      <w:r>
        <w:fldChar w:fldCharType="end"/>
      </w:r>
      <w:r>
        <w:rPr>
          <w:lang w:val="zh-CN"/>
        </w:rPr>
        <w:fldChar w:fldCharType="end"/>
      </w:r>
    </w:p>
    <w:p w14:paraId="4349614E">
      <w:pPr>
        <w:pStyle w:val="11"/>
        <w:tabs>
          <w:tab w:val="right" w:leader="dot" w:pos="8306"/>
        </w:tabs>
      </w:pPr>
      <w:r>
        <w:rPr>
          <w:lang w:val="zh-CN"/>
        </w:rPr>
        <w:fldChar w:fldCharType="begin"/>
      </w:r>
      <w:r>
        <w:rPr>
          <w:lang w:val="zh-CN"/>
        </w:rPr>
        <w:instrText xml:space="preserve"> HYPERLINK \l _Toc27236 </w:instrText>
      </w:r>
      <w:r>
        <w:rPr>
          <w:lang w:val="zh-CN"/>
        </w:rPr>
        <w:fldChar w:fldCharType="separate"/>
      </w:r>
      <w:r>
        <w:rPr>
          <w:rFonts w:eastAsia="黑体"/>
          <w:bCs/>
          <w:szCs w:val="28"/>
        </w:rPr>
        <w:t>5.</w:t>
      </w:r>
      <w:r>
        <w:rPr>
          <w:rFonts w:hint="eastAsia" w:eastAsia="黑体"/>
          <w:bCs/>
          <w:szCs w:val="28"/>
          <w:lang w:val="en-US" w:eastAsia="zh-CN"/>
        </w:rPr>
        <w:t>2</w:t>
      </w:r>
      <w:r>
        <w:rPr>
          <w:rFonts w:eastAsia="黑体"/>
          <w:bCs/>
          <w:szCs w:val="28"/>
        </w:rPr>
        <w:t xml:space="preserve"> </w:t>
      </w:r>
      <w:r>
        <w:rPr>
          <w:rFonts w:hint="eastAsia" w:eastAsia="黑体"/>
          <w:bCs/>
          <w:szCs w:val="28"/>
          <w:lang w:val="en-US" w:eastAsia="zh-CN"/>
        </w:rPr>
        <w:t>研究局限与展望</w:t>
      </w:r>
      <w:r>
        <w:tab/>
      </w:r>
      <w:r>
        <w:fldChar w:fldCharType="begin"/>
      </w:r>
      <w:r>
        <w:instrText xml:space="preserve"> PAGEREF _Toc27236 \h </w:instrText>
      </w:r>
      <w:r>
        <w:fldChar w:fldCharType="separate"/>
      </w:r>
      <w:r>
        <w:t>12</w:t>
      </w:r>
      <w:r>
        <w:fldChar w:fldCharType="end"/>
      </w:r>
      <w:r>
        <w:rPr>
          <w:lang w:val="zh-CN"/>
        </w:rPr>
        <w:fldChar w:fldCharType="end"/>
      </w:r>
    </w:p>
    <w:p w14:paraId="17B104A7">
      <w:pPr>
        <w:pStyle w:val="10"/>
        <w:tabs>
          <w:tab w:val="right" w:leader="dot" w:pos="8306"/>
          <w:tab w:val="clear" w:pos="8296"/>
        </w:tabs>
      </w:pPr>
      <w:r>
        <w:rPr>
          <w:lang w:val="zh-CN"/>
        </w:rPr>
        <w:fldChar w:fldCharType="begin"/>
      </w:r>
      <w:r>
        <w:rPr>
          <w:lang w:val="zh-CN"/>
        </w:rPr>
        <w:instrText xml:space="preserve"> HYPERLINK \l _Toc9961 </w:instrText>
      </w:r>
      <w:r>
        <w:rPr>
          <w:lang w:val="zh-CN"/>
        </w:rPr>
        <w:fldChar w:fldCharType="separate"/>
      </w:r>
      <w:r>
        <w:rPr>
          <w:rFonts w:hint="eastAsia" w:ascii="楷体" w:hAnsi="楷体" w:eastAsia="楷体"/>
          <w:bCs/>
          <w:szCs w:val="21"/>
        </w:rPr>
        <w:t>参考文献</w:t>
      </w:r>
      <w:r>
        <w:tab/>
      </w:r>
      <w:r>
        <w:fldChar w:fldCharType="begin"/>
      </w:r>
      <w:r>
        <w:instrText xml:space="preserve"> PAGEREF _Toc9961 \h </w:instrText>
      </w:r>
      <w:r>
        <w:fldChar w:fldCharType="separate"/>
      </w:r>
      <w:r>
        <w:t>13</w:t>
      </w:r>
      <w:r>
        <w:fldChar w:fldCharType="end"/>
      </w:r>
      <w:r>
        <w:rPr>
          <w:lang w:val="zh-CN"/>
        </w:rPr>
        <w:fldChar w:fldCharType="end"/>
      </w:r>
    </w:p>
    <w:p w14:paraId="364C959C">
      <w:pPr>
        <w:pStyle w:val="10"/>
        <w:tabs>
          <w:tab w:val="right" w:leader="dot" w:pos="8306"/>
          <w:tab w:val="clear" w:pos="8296"/>
        </w:tabs>
      </w:pPr>
      <w:r>
        <w:rPr>
          <w:lang w:val="zh-CN"/>
        </w:rPr>
        <w:fldChar w:fldCharType="begin"/>
      </w:r>
      <w:r>
        <w:rPr>
          <w:lang w:val="zh-CN"/>
        </w:rPr>
        <w:instrText xml:space="preserve"> HYPERLINK \l _Toc11692 </w:instrText>
      </w:r>
      <w:r>
        <w:rPr>
          <w:lang w:val="zh-CN"/>
        </w:rPr>
        <w:fldChar w:fldCharType="separate"/>
      </w:r>
      <w:r>
        <w:rPr>
          <w:rFonts w:hint="eastAsia" w:ascii="黑体" w:hAnsi="黑体" w:eastAsia="黑体"/>
          <w:bCs/>
          <w:szCs w:val="16"/>
        </w:rPr>
        <w:t>致谢</w:t>
      </w:r>
      <w:r>
        <w:tab/>
      </w:r>
      <w:r>
        <w:fldChar w:fldCharType="begin"/>
      </w:r>
      <w:r>
        <w:instrText xml:space="preserve"> PAGEREF _Toc11692 \h </w:instrText>
      </w:r>
      <w:r>
        <w:fldChar w:fldCharType="separate"/>
      </w:r>
      <w:r>
        <w:t>14</w:t>
      </w:r>
      <w:r>
        <w:fldChar w:fldCharType="end"/>
      </w:r>
      <w:r>
        <w:rPr>
          <w:lang w:val="zh-CN"/>
        </w:rPr>
        <w:fldChar w:fldCharType="end"/>
      </w:r>
    </w:p>
    <w:p w14:paraId="5BE7C006">
      <w:pPr>
        <w:pStyle w:val="10"/>
        <w:tabs>
          <w:tab w:val="right" w:leader="dot" w:pos="8306"/>
          <w:tab w:val="clear" w:pos="8296"/>
        </w:tabs>
      </w:pPr>
      <w:r>
        <w:rPr>
          <w:lang w:val="zh-CN"/>
        </w:rPr>
        <w:fldChar w:fldCharType="begin"/>
      </w:r>
      <w:r>
        <w:rPr>
          <w:lang w:val="zh-CN"/>
        </w:rPr>
        <w:instrText xml:space="preserve"> HYPERLINK \l _Toc30751 </w:instrText>
      </w:r>
      <w:r>
        <w:rPr>
          <w:lang w:val="zh-CN"/>
        </w:rPr>
        <w:fldChar w:fldCharType="separate"/>
      </w:r>
      <w:r>
        <w:rPr>
          <w:rFonts w:hint="eastAsia" w:ascii="黑体" w:hAnsi="黑体" w:eastAsia="黑体"/>
          <w:bCs/>
          <w:szCs w:val="16"/>
        </w:rPr>
        <w:t>附录</w:t>
      </w:r>
      <w:r>
        <w:tab/>
      </w:r>
      <w:r>
        <w:fldChar w:fldCharType="begin"/>
      </w:r>
      <w:r>
        <w:instrText xml:space="preserve"> PAGEREF _Toc30751 \h </w:instrText>
      </w:r>
      <w:r>
        <w:fldChar w:fldCharType="separate"/>
      </w:r>
      <w:r>
        <w:t>16</w:t>
      </w:r>
      <w:r>
        <w:fldChar w:fldCharType="end"/>
      </w:r>
      <w:r>
        <w:rPr>
          <w:lang w:val="zh-CN"/>
        </w:rPr>
        <w:fldChar w:fldCharType="end"/>
      </w:r>
    </w:p>
    <w:p w14:paraId="718B76EE">
      <w:pPr>
        <w:spacing w:line="480" w:lineRule="auto"/>
        <w:jc w:val="center"/>
        <w:rPr>
          <w:rStyle w:val="20"/>
        </w:rPr>
      </w:pPr>
      <w:r>
        <w:rPr>
          <w:sz w:val="24"/>
          <w:lang w:val="zh-CN"/>
        </w:rPr>
        <w:fldChar w:fldCharType="end"/>
      </w:r>
    </w:p>
    <w:p w14:paraId="1972F4E2">
      <w:pPr>
        <w:spacing w:line="480" w:lineRule="auto"/>
        <w:rPr>
          <w:rFonts w:hint="eastAsia" w:ascii="仿宋_GB2312" w:hAnsi="华文仿宋" w:eastAsia="仿宋_GB2312"/>
          <w:sz w:val="32"/>
          <w:szCs w:val="20"/>
        </w:rPr>
      </w:pPr>
    </w:p>
    <w:p w14:paraId="5359B04A">
      <w:pPr>
        <w:spacing w:line="360" w:lineRule="auto"/>
        <w:outlineLvl w:val="9"/>
        <w:rPr>
          <w:rFonts w:ascii="华文中宋" w:hAnsi="华文中宋" w:eastAsia="华文中宋"/>
          <w:b/>
          <w:bCs/>
          <w:sz w:val="36"/>
          <w:szCs w:val="32"/>
        </w:rPr>
        <w:sectPr>
          <w:footerReference r:id="rId4" w:type="default"/>
          <w:pgSz w:w="11906" w:h="16838"/>
          <w:pgMar w:top="1440" w:right="1800" w:bottom="1440" w:left="1800" w:header="851" w:footer="992" w:gutter="0"/>
          <w:pgNumType w:fmt="upperRoman"/>
          <w:cols w:space="425" w:num="1"/>
          <w:docGrid w:type="lines" w:linePitch="312" w:charSpace="0"/>
        </w:sectPr>
      </w:pPr>
    </w:p>
    <w:p w14:paraId="7578A5E2">
      <w:pPr>
        <w:spacing w:line="360" w:lineRule="auto"/>
        <w:jc w:val="center"/>
        <w:outlineLvl w:val="9"/>
        <w:rPr>
          <w:rFonts w:hint="eastAsia" w:ascii="宋体" w:hAnsi="宋体"/>
          <w:sz w:val="24"/>
          <w:szCs w:val="22"/>
        </w:rPr>
      </w:pPr>
      <w:bookmarkStart w:id="1" w:name="_Toc148032827"/>
      <w:bookmarkStart w:id="2" w:name="_Toc5864"/>
      <w:r>
        <w:rPr>
          <w:rFonts w:hint="eastAsia" w:ascii="楷体" w:hAnsi="楷体" w:eastAsia="楷体" w:cs="楷体"/>
          <w:b/>
          <w:bCs/>
          <w:sz w:val="32"/>
          <w:szCs w:val="32"/>
          <w:u w:val="single"/>
        </w:rPr>
        <w:t>基于遗传算法的医保集采药品配送路径优化研究——以定点零售药店为例</w:t>
      </w:r>
      <w:bookmarkEnd w:id="1"/>
      <w:bookmarkEnd w:id="2"/>
    </w:p>
    <w:p w14:paraId="26EB620B">
      <w:pPr>
        <w:spacing w:before="156" w:beforeLines="50" w:after="156" w:afterLines="50"/>
        <w:rPr>
          <w:rFonts w:hint="eastAsia" w:eastAsia="楷体"/>
          <w:szCs w:val="13"/>
        </w:rPr>
      </w:pPr>
      <w:r>
        <w:rPr>
          <w:rFonts w:hint="eastAsia" w:ascii="仿宋_GB2312" w:hAnsi="华文仿宋" w:eastAsia="仿宋_GB2312"/>
          <w:sz w:val="24"/>
        </w:rPr>
        <w:t>【</w:t>
      </w:r>
      <w:r>
        <w:rPr>
          <w:rFonts w:hint="eastAsia" w:ascii="楷体" w:hAnsi="楷体" w:eastAsia="楷体"/>
          <w:b/>
          <w:bCs/>
          <w:sz w:val="24"/>
        </w:rPr>
        <w:t>摘要</w:t>
      </w:r>
      <w:r>
        <w:rPr>
          <w:rFonts w:hint="eastAsia" w:ascii="仿宋_GB2312" w:hAnsi="华文仿宋" w:eastAsia="仿宋_GB2312"/>
          <w:sz w:val="24"/>
        </w:rPr>
        <w:t>】</w:t>
      </w:r>
      <w:r>
        <w:rPr>
          <w:rFonts w:hint="eastAsia" w:eastAsia="楷体"/>
          <w:szCs w:val="13"/>
        </w:rPr>
        <w:t>本研究针对医保集采背景下定点零售药店药品配送路径优化问题，提出一种基于K-Means聚类与遗传算法（GA）的混合优化方法。通过分析医保药品配送的特殊性（如政策约束、需求波动性及区域性差异），利用深圳市零售药店的地理数据，</w:t>
      </w:r>
      <w:r>
        <w:rPr>
          <w:rFonts w:hint="eastAsia" w:eastAsia="楷体"/>
          <w:szCs w:val="13"/>
          <w:lang w:val="en-US" w:eastAsia="zh-CN"/>
        </w:rPr>
        <w:t>联</w:t>
      </w:r>
      <w:r>
        <w:rPr>
          <w:rFonts w:hint="eastAsia" w:eastAsia="楷体"/>
          <w:szCs w:val="13"/>
        </w:rPr>
        <w:t>合K-Means算法将配送区域划分为3个聚类中心，实现配送资源的科学分配。进一步构建以车辆载重、容积及访问约束为核心的路径优化模型，采用遗传算法求解最优配送路径，并通过模拟退火算法（SA）进行对比验证。实验结果表明，K-Means-GA算法的适应度值较SA提升显著（九州通配送中心案例中GA适应度为0.00686，SA为0.00094），路径总距离平均减少28.7\%，有效降低了物流成本并提升了配送效率。本研究为医保集采药品的精准配送提供了可量化的决策支持，对优化医疗资源配置具有实践意义。</w:t>
      </w:r>
    </w:p>
    <w:p w14:paraId="1032C9DB">
      <w:pPr>
        <w:spacing w:before="156" w:beforeLines="50" w:after="156" w:afterLines="50"/>
        <w:rPr>
          <w:rFonts w:ascii="仿宋_GB2312" w:hAnsi="华文仿宋" w:eastAsia="仿宋_GB2312"/>
          <w:sz w:val="32"/>
          <w:szCs w:val="20"/>
        </w:rPr>
      </w:pPr>
    </w:p>
    <w:p w14:paraId="4787A62D">
      <w:pPr>
        <w:spacing w:before="156" w:beforeLines="50" w:after="156" w:afterLines="50"/>
        <w:rPr>
          <w:rFonts w:hint="eastAsia" w:eastAsia="楷体"/>
          <w:szCs w:val="13"/>
        </w:rPr>
      </w:pPr>
      <w:r>
        <w:rPr>
          <w:rFonts w:hint="eastAsia" w:ascii="仿宋_GB2312" w:hAnsi="华文仿宋" w:eastAsia="仿宋_GB2312"/>
          <w:sz w:val="24"/>
        </w:rPr>
        <w:t>【</w:t>
      </w:r>
      <w:r>
        <w:rPr>
          <w:rFonts w:hint="eastAsia" w:ascii="楷体" w:hAnsi="楷体" w:eastAsia="楷体"/>
          <w:b/>
          <w:bCs/>
          <w:sz w:val="24"/>
        </w:rPr>
        <w:t>关键词</w:t>
      </w:r>
      <w:r>
        <w:rPr>
          <w:rFonts w:hint="eastAsia" w:ascii="仿宋_GB2312" w:hAnsi="华文仿宋" w:eastAsia="仿宋_GB2312"/>
          <w:sz w:val="24"/>
        </w:rPr>
        <w:t>】</w:t>
      </w:r>
      <w:r>
        <w:rPr>
          <w:rFonts w:hint="eastAsia" w:eastAsia="楷体"/>
          <w:szCs w:val="13"/>
        </w:rPr>
        <w:t>医保集采；药品配送路径优化；K-Means聚类；遗传算法；车辆路径问题（VRP）；定点零售药店</w:t>
      </w:r>
    </w:p>
    <w:p w14:paraId="3E721CC9">
      <w:pPr>
        <w:spacing w:before="156" w:beforeLines="50" w:after="156" w:afterLines="50"/>
        <w:rPr>
          <w:rFonts w:eastAsia="楷体"/>
          <w:szCs w:val="13"/>
        </w:rPr>
      </w:pPr>
    </w:p>
    <w:p w14:paraId="23E79BBA">
      <w:pPr>
        <w:spacing w:before="156" w:beforeLines="50" w:after="156" w:afterLines="50"/>
        <w:jc w:val="both"/>
        <w:outlineLvl w:val="9"/>
        <w:rPr>
          <w:rFonts w:eastAsia="黑体"/>
          <w:b/>
          <w:bCs/>
          <w:sz w:val="30"/>
          <w:szCs w:val="30"/>
        </w:rPr>
        <w:sectPr>
          <w:footerReference r:id="rId5" w:type="default"/>
          <w:pgSz w:w="11906" w:h="16838"/>
          <w:pgMar w:top="1440" w:right="1800" w:bottom="1440" w:left="1800" w:header="851" w:footer="992" w:gutter="0"/>
          <w:pgNumType w:start="1"/>
          <w:cols w:space="425" w:num="1"/>
          <w:docGrid w:type="lines" w:linePitch="312" w:charSpace="0"/>
        </w:sectPr>
      </w:pPr>
    </w:p>
    <w:p w14:paraId="0604244A">
      <w:pPr>
        <w:spacing w:before="156" w:beforeLines="50" w:after="156" w:afterLines="50"/>
        <w:jc w:val="center"/>
        <w:outlineLvl w:val="0"/>
        <w:rPr>
          <w:rFonts w:eastAsia="黑体"/>
          <w:b/>
          <w:bCs/>
          <w:sz w:val="30"/>
          <w:szCs w:val="30"/>
        </w:rPr>
      </w:pPr>
      <w:bookmarkStart w:id="3" w:name="_Toc27414"/>
      <w:bookmarkStart w:id="4" w:name="_Toc4631"/>
      <w:bookmarkStart w:id="5" w:name="_Toc22611"/>
      <w:r>
        <w:rPr>
          <w:rFonts w:eastAsia="黑体"/>
          <w:b/>
          <w:bCs/>
          <w:sz w:val="30"/>
          <w:szCs w:val="30"/>
        </w:rPr>
        <w:t>1 引言</w:t>
      </w:r>
      <w:bookmarkEnd w:id="3"/>
      <w:bookmarkEnd w:id="4"/>
      <w:bookmarkEnd w:id="5"/>
    </w:p>
    <w:p w14:paraId="207FA7DB">
      <w:pPr>
        <w:spacing w:before="156" w:beforeLines="50" w:after="156" w:afterLines="50"/>
        <w:outlineLvl w:val="1"/>
        <w:rPr>
          <w:rFonts w:eastAsia="黑体"/>
          <w:b/>
          <w:bCs/>
          <w:sz w:val="28"/>
          <w:szCs w:val="28"/>
        </w:rPr>
      </w:pPr>
      <w:bookmarkStart w:id="6" w:name="_Toc3164"/>
      <w:bookmarkStart w:id="7" w:name="_Toc32666"/>
      <w:bookmarkStart w:id="8" w:name="_Toc6219"/>
      <w:r>
        <w:rPr>
          <w:rFonts w:hint="eastAsia" w:eastAsia="黑体"/>
          <w:b/>
          <w:bCs/>
          <w:sz w:val="28"/>
          <w:szCs w:val="28"/>
        </w:rPr>
        <w:t>1</w:t>
      </w:r>
      <w:r>
        <w:rPr>
          <w:rFonts w:eastAsia="黑体"/>
          <w:b/>
          <w:bCs/>
          <w:sz w:val="28"/>
          <w:szCs w:val="28"/>
        </w:rPr>
        <w:t xml:space="preserve">.1 </w:t>
      </w:r>
      <w:r>
        <w:rPr>
          <w:rFonts w:hint="eastAsia" w:eastAsia="黑体"/>
          <w:b/>
          <w:bCs/>
          <w:sz w:val="28"/>
          <w:szCs w:val="28"/>
        </w:rPr>
        <w:t>选题背景</w:t>
      </w:r>
      <w:bookmarkEnd w:id="6"/>
      <w:bookmarkEnd w:id="7"/>
      <w:bookmarkEnd w:id="8"/>
    </w:p>
    <w:p w14:paraId="5655867F">
      <w:pPr>
        <w:spacing w:before="156" w:beforeLines="50" w:after="156" w:afterLines="50"/>
        <w:ind w:firstLine="420" w:firstLineChars="200"/>
        <w:rPr>
          <w:rFonts w:hint="eastAsia" w:ascii="Times New Roman" w:hAnsi="Times New Roman" w:eastAsia="宋体" w:cs="Times New Roman"/>
          <w:szCs w:val="21"/>
          <w:lang w:eastAsia="zh-CN"/>
        </w:rPr>
      </w:pPr>
      <w:r>
        <w:rPr>
          <w:rFonts w:ascii="Times New Roman" w:hAnsi="Times New Roman" w:eastAsia="宋体" w:cs="Times New Roman"/>
          <w:szCs w:val="21"/>
        </w:rPr>
        <w:t>鉴</w:t>
      </w:r>
      <w:r>
        <w:rPr>
          <w:rFonts w:hint="eastAsia" w:ascii="Times New Roman" w:hAnsi="Times New Roman" w:eastAsia="宋体" w:cs="Times New Roman"/>
          <w:szCs w:val="21"/>
        </w:rPr>
        <w:t>于全球人口老龄化日益严重以及医疗需求的持续增加</w:t>
      </w:r>
      <w:r>
        <w:rPr>
          <w:rFonts w:hint="eastAsia" w:ascii="Times New Roman" w:hAnsi="Times New Roman" w:eastAsia="宋体"/>
          <w:szCs w:val="21"/>
          <w:lang w:eastAsia="zh-CN"/>
        </w:rPr>
        <w:t>，医保体系下的采集药品物流配送作为保障医疗服务及时性和质量的关键环节，其高效运作的重要性日益凸显。在当前的医保政策背景下，采集药品配送体系的优化不仅是提升医疗服务效率的需要，更是确保医保资金合理使用和患者用药可及性的关键。</w:t>
      </w:r>
    </w:p>
    <w:p w14:paraId="16E4CAFA">
      <w:pPr>
        <w:spacing w:before="156" w:beforeLines="50" w:after="156" w:afterLines="50"/>
        <w:outlineLvl w:val="2"/>
        <w:rPr>
          <w:rFonts w:hint="default" w:ascii="Times New Roman" w:hAnsi="Times New Roman" w:eastAsia="黑体" w:cs="Times New Roman"/>
          <w:b/>
          <w:bCs/>
          <w:sz w:val="24"/>
          <w:lang w:val="en-US" w:eastAsia="zh-CN"/>
        </w:rPr>
      </w:pPr>
      <w:bookmarkStart w:id="9" w:name="_Toc4034"/>
      <w:bookmarkStart w:id="10" w:name="_Toc20439"/>
      <w:r>
        <w:rPr>
          <w:rFonts w:hint="eastAsia" w:ascii="Times New Roman" w:hAnsi="Times New Roman" w:eastAsia="黑体" w:cs="Times New Roman"/>
          <w:b/>
          <w:bCs/>
          <w:sz w:val="24"/>
          <w:lang w:val="en-US" w:eastAsia="zh-CN"/>
        </w:rPr>
        <w:t xml:space="preserve">1.1.1 </w:t>
      </w:r>
      <w:r>
        <w:rPr>
          <w:rFonts w:hint="eastAsia" w:ascii="Times New Roman" w:hAnsi="Times New Roman" w:eastAsia="黑体"/>
          <w:b/>
          <w:bCs/>
          <w:sz w:val="24"/>
          <w:lang w:val="en-US" w:eastAsia="zh-CN"/>
        </w:rPr>
        <w:t>医保体系下的采集药品配送现状</w:t>
      </w:r>
      <w:bookmarkEnd w:id="9"/>
      <w:bookmarkEnd w:id="10"/>
    </w:p>
    <w:p w14:paraId="068FC895">
      <w:pPr>
        <w:spacing w:before="156" w:beforeLines="50" w:after="156" w:afterLines="50"/>
        <w:ind w:firstLine="420" w:firstLineChars="200"/>
        <w:rPr>
          <w:rFonts w:hint="eastAsia"/>
          <w:szCs w:val="21"/>
        </w:rPr>
      </w:pPr>
      <w:r>
        <w:rPr>
          <w:rFonts w:hint="eastAsia"/>
          <w:szCs w:val="21"/>
        </w:rPr>
        <w:t>近年来，国家出台了一系列医保政策以优化采集药品配送体系。例如，2024年发布的《关于完善医药集中带量采购和执行工作机制的通知》要求地方在集采执行后开展排查梳理，</w:t>
      </w:r>
      <w:r>
        <w:rPr>
          <w:rFonts w:hint="eastAsia"/>
          <w:szCs w:val="21"/>
          <w:lang w:eastAsia="zh-CN"/>
        </w:rPr>
        <w:t>敦促</w:t>
      </w:r>
      <w:r>
        <w:rPr>
          <w:rFonts w:hint="eastAsia"/>
          <w:szCs w:val="21"/>
        </w:rPr>
        <w:t>医疗机构尽快</w:t>
      </w:r>
      <w:r>
        <w:rPr>
          <w:rFonts w:hint="eastAsia"/>
          <w:szCs w:val="21"/>
          <w:lang w:eastAsia="zh-CN"/>
        </w:rPr>
        <w:t>实现</w:t>
      </w:r>
      <w:r>
        <w:rPr>
          <w:rFonts w:hint="eastAsia"/>
          <w:szCs w:val="21"/>
        </w:rPr>
        <w:t>采集药品进院工作，并鼓励零售药店参加集采，方便群众就近购买中选采集药品。此外，医保部门还通过医保基金预付、提升结算效率等方式，完善医疗机构激励机制，推动采集药品配送的高效执行。我国医保体系不断完善，采集药品集中带量采购已成为医保控费和保障采集药品供应的重要手段。截至2025年，国家医保局已开展多轮药品集采，第十一批药品集采也即将启动，预计到年底，国家和联盟采购的药品品种总数将达到700个左右。在医保政策的推动下，定点零售药店的药品配送成为重要的执行环节，但目前仍面临诸多挑战。</w:t>
      </w:r>
    </w:p>
    <w:p w14:paraId="5BBC4CEA">
      <w:pPr>
        <w:spacing w:before="156" w:beforeLines="50" w:after="156" w:afterLines="50"/>
        <w:outlineLvl w:val="2"/>
        <w:rPr>
          <w:rFonts w:hint="eastAsia" w:ascii="Times New Roman" w:hAnsi="Times New Roman" w:eastAsia="黑体" w:cs="Times New Roman"/>
          <w:b/>
          <w:bCs/>
          <w:sz w:val="24"/>
          <w:lang w:val="en-US" w:eastAsia="zh-CN"/>
        </w:rPr>
      </w:pPr>
      <w:bookmarkStart w:id="11" w:name="_Toc25183"/>
      <w:bookmarkStart w:id="12" w:name="_Toc5940"/>
      <w:r>
        <w:rPr>
          <w:rFonts w:hint="eastAsia" w:ascii="Times New Roman" w:hAnsi="Times New Roman" w:eastAsia="黑体" w:cs="Times New Roman"/>
          <w:b/>
          <w:bCs/>
          <w:sz w:val="24"/>
          <w:lang w:val="en-US" w:eastAsia="zh-CN"/>
        </w:rPr>
        <w:t>1.1.2 现有配送方式的不足</w:t>
      </w:r>
      <w:bookmarkEnd w:id="11"/>
      <w:bookmarkEnd w:id="12"/>
    </w:p>
    <w:p w14:paraId="4AE3C8B6">
      <w:pPr>
        <w:spacing w:before="156" w:beforeLines="50" w:after="156" w:afterLines="50"/>
        <w:ind w:firstLine="422" w:firstLineChars="200"/>
        <w:rPr>
          <w:rFonts w:hint="eastAsia" w:ascii="Times New Roman" w:hAnsi="Times New Roman" w:eastAsia="宋体"/>
          <w:szCs w:val="21"/>
          <w:lang w:val="en-US" w:eastAsia="zh-CN"/>
        </w:rPr>
      </w:pPr>
      <w:r>
        <w:rPr>
          <w:rFonts w:hint="default" w:ascii="Times New Roman" w:hAnsi="Times New Roman" w:eastAsia="宋体" w:cs="Times New Roman"/>
          <w:b/>
          <w:bCs/>
          <w:szCs w:val="21"/>
          <w:lang w:val="en-US" w:eastAsia="zh-CN"/>
        </w:rPr>
        <w:t>配送模式的局限性</w:t>
      </w:r>
      <w:r>
        <w:rPr>
          <w:rFonts w:hint="eastAsia" w:ascii="Times New Roman" w:hAnsi="Times New Roman" w:eastAsia="宋体" w:cs="Times New Roman"/>
          <w:szCs w:val="21"/>
          <w:lang w:val="en-US" w:eastAsia="zh-CN"/>
        </w:rPr>
        <w:t>：</w:t>
      </w:r>
      <w:r>
        <w:rPr>
          <w:rFonts w:hint="eastAsia" w:ascii="Times New Roman" w:hAnsi="Times New Roman" w:eastAsia="宋体"/>
          <w:szCs w:val="21"/>
          <w:lang w:val="en-US" w:eastAsia="zh-CN"/>
        </w:rPr>
        <w:t>目前，医保药品的配送主要依赖本地配送中心执行任务，这种模式与普通药品配送存在显著差异。普通药品配送更多关注市场需求的即时性，而医保药品配送则需要考虑医保政策的约束、药品价格的合理性以及医保目录的动态调整。此外，医保药品配送的定点零售药店数据与普通药店不同，其数据必须纳入医保系统进行管理。</w:t>
      </w:r>
    </w:p>
    <w:p w14:paraId="3B1526BB">
      <w:pPr>
        <w:spacing w:before="156" w:beforeLines="50" w:after="156" w:afterLines="50"/>
        <w:ind w:firstLine="422" w:firstLineChars="200"/>
        <w:rPr>
          <w:rFonts w:hint="default" w:ascii="Times New Roman" w:hAnsi="Times New Roman" w:eastAsia="宋体" w:cs="Times New Roman"/>
          <w:b/>
          <w:bCs/>
          <w:szCs w:val="21"/>
          <w:lang w:val="en-US" w:eastAsia="zh-CN"/>
        </w:rPr>
      </w:pPr>
      <w:r>
        <w:rPr>
          <w:rFonts w:hint="default" w:ascii="Times New Roman" w:hAnsi="Times New Roman" w:eastAsia="宋体"/>
          <w:b/>
          <w:bCs/>
          <w:szCs w:val="21"/>
          <w:lang w:val="en-US" w:eastAsia="zh-CN"/>
        </w:rPr>
        <w:t>缺乏灵活性和全局调控能力</w:t>
      </w:r>
      <w:r>
        <w:rPr>
          <w:rFonts w:hint="eastAsia" w:ascii="Times New Roman" w:hAnsi="Times New Roman" w:eastAsia="宋体"/>
          <w:b/>
          <w:bCs/>
          <w:szCs w:val="21"/>
          <w:lang w:val="en-US" w:eastAsia="zh-CN"/>
        </w:rPr>
        <w:t>：</w:t>
      </w:r>
      <w:r>
        <w:rPr>
          <w:rFonts w:hint="eastAsia" w:ascii="Times New Roman" w:hAnsi="Times New Roman" w:eastAsia="宋体" w:cs="Times New Roman"/>
          <w:szCs w:val="21"/>
          <w:lang w:val="en-US" w:eastAsia="zh-CN"/>
        </w:rPr>
        <w:t>现有配送计划多为固定模式，难以应对药品消费的弹性变化。药品需求受季节、疾病流行趋势、政策调整等多种因素影响，呈现明显的波动性。而在医保集采背景下，这种波动性更加显著，因为集采药品的采购量和使用量需要根据医保政策和临床需求进行动态调整。此外，我国药品物流配送行业存在大量中小经销商，信息孤岛现象普遍，缺乏有效的信息共享和协同机制，导致各环节之间难以实现全局调控。</w:t>
      </w:r>
    </w:p>
    <w:p w14:paraId="6423E99D">
      <w:pPr>
        <w:spacing w:before="156" w:beforeLines="50" w:after="156" w:afterLines="50"/>
        <w:outlineLvl w:val="1"/>
        <w:rPr>
          <w:rFonts w:eastAsia="黑体"/>
          <w:b/>
          <w:bCs/>
          <w:sz w:val="28"/>
          <w:szCs w:val="28"/>
        </w:rPr>
      </w:pPr>
      <w:bookmarkStart w:id="13" w:name="_Toc31183"/>
      <w:bookmarkStart w:id="14" w:name="_Toc20582"/>
      <w:bookmarkStart w:id="15" w:name="_Toc13459"/>
      <w:r>
        <w:rPr>
          <w:rFonts w:hint="eastAsia" w:eastAsia="黑体"/>
          <w:b/>
          <w:bCs/>
          <w:sz w:val="28"/>
          <w:szCs w:val="28"/>
        </w:rPr>
        <w:t>1</w:t>
      </w:r>
      <w:r>
        <w:rPr>
          <w:rFonts w:eastAsia="黑体"/>
          <w:b/>
          <w:bCs/>
          <w:sz w:val="28"/>
          <w:szCs w:val="28"/>
        </w:rPr>
        <w:t xml:space="preserve">.2 </w:t>
      </w:r>
      <w:r>
        <w:rPr>
          <w:rFonts w:hint="eastAsia" w:eastAsia="黑体"/>
          <w:b/>
          <w:bCs/>
          <w:sz w:val="28"/>
          <w:szCs w:val="28"/>
        </w:rPr>
        <w:t>研究意义</w:t>
      </w:r>
      <w:bookmarkEnd w:id="13"/>
      <w:bookmarkEnd w:id="14"/>
      <w:bookmarkEnd w:id="15"/>
    </w:p>
    <w:p w14:paraId="40377F92">
      <w:pPr>
        <w:spacing w:before="156" w:beforeLines="50" w:after="156" w:afterLines="50"/>
        <w:outlineLvl w:val="2"/>
        <w:rPr>
          <w:rFonts w:eastAsia="黑体"/>
          <w:b/>
          <w:bCs/>
          <w:sz w:val="24"/>
        </w:rPr>
      </w:pPr>
      <w:bookmarkStart w:id="16" w:name="_Toc148032831"/>
      <w:bookmarkStart w:id="17" w:name="_Toc148032992"/>
      <w:bookmarkStart w:id="18" w:name="_Toc21657"/>
      <w:bookmarkStart w:id="19" w:name="_Toc28418"/>
      <w:r>
        <w:rPr>
          <w:rFonts w:eastAsia="黑体"/>
          <w:b/>
          <w:bCs/>
          <w:sz w:val="24"/>
        </w:rPr>
        <w:t>1.2.1 理论意义</w:t>
      </w:r>
      <w:bookmarkEnd w:id="16"/>
      <w:bookmarkEnd w:id="17"/>
      <w:bookmarkEnd w:id="18"/>
      <w:bookmarkEnd w:id="19"/>
    </w:p>
    <w:p w14:paraId="44B462FE">
      <w:pPr>
        <w:spacing w:before="156" w:beforeLines="50" w:after="156" w:afterLines="50"/>
        <w:ind w:firstLine="420" w:firstLineChars="200"/>
        <w:rPr>
          <w:rFonts w:hint="eastAsia"/>
          <w:szCs w:val="21"/>
        </w:rPr>
      </w:pPr>
      <w:r>
        <w:t>本研究的理论意义在于，它通过将聚类算法与车辆路径规划（VRP）模型相结合，为</w:t>
      </w:r>
      <w:r>
        <w:rPr>
          <w:rFonts w:hint="eastAsia"/>
          <w:lang w:val="en-US" w:eastAsia="zh-CN"/>
        </w:rPr>
        <w:t>药品配送这一主题下的</w:t>
      </w:r>
      <w:r>
        <w:t>运筹学和物流管理领域提供了新的理论视角和研究方法。这种结合不仅能够处理配送需求的动态变化，从而为解决复杂的配送问题提供了新的解决方案。此外，本研究还为运筹学和物流管理领域提供了新的研究方向，即如何将具体的地理数据与优化模型相结合，以实现更精准的配送路径规划。这种理论探索有助于推动相关学科的理论发展，为未来的研究提供新的思路和方法。</w:t>
      </w:r>
    </w:p>
    <w:p w14:paraId="3C15233B">
      <w:pPr>
        <w:spacing w:before="156" w:beforeLines="50" w:after="156" w:afterLines="50"/>
        <w:outlineLvl w:val="2"/>
        <w:rPr>
          <w:rFonts w:eastAsia="黑体"/>
          <w:b/>
          <w:bCs/>
          <w:sz w:val="24"/>
        </w:rPr>
      </w:pPr>
      <w:bookmarkStart w:id="20" w:name="_Toc148032832"/>
      <w:bookmarkStart w:id="21" w:name="_Toc13339"/>
      <w:bookmarkStart w:id="22" w:name="_Toc148032993"/>
      <w:bookmarkStart w:id="23" w:name="_Toc320"/>
      <w:r>
        <w:rPr>
          <w:rFonts w:eastAsia="黑体"/>
          <w:b/>
          <w:bCs/>
          <w:sz w:val="24"/>
        </w:rPr>
        <w:t xml:space="preserve">1.2.2 </w:t>
      </w:r>
      <w:r>
        <w:rPr>
          <w:rFonts w:hint="eastAsia" w:eastAsia="黑体"/>
          <w:b/>
          <w:bCs/>
          <w:sz w:val="24"/>
        </w:rPr>
        <w:t>现实意义</w:t>
      </w:r>
      <w:bookmarkEnd w:id="20"/>
      <w:bookmarkEnd w:id="21"/>
      <w:bookmarkEnd w:id="22"/>
      <w:bookmarkEnd w:id="23"/>
    </w:p>
    <w:p w14:paraId="465EF81B">
      <w:pPr>
        <w:pStyle w:val="12"/>
        <w:keepNext w:val="0"/>
        <w:keepLines w:val="0"/>
        <w:widowControl/>
        <w:suppressLineNumbers w:val="0"/>
        <w:spacing w:before="0" w:beforeAutospacing="1" w:after="0" w:afterAutospacing="1"/>
        <w:ind w:left="0" w:right="0" w:firstLine="420" w:firstLineChars="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从实际应用的角度来看，本研究的意义在于它能够直接改善深圳市5000多家定点零售药店的药品配送效率和降低运输成本。通过优化配送路径，可以减少配送时间，提高药品的及时性，这对于保障药品的质量和安全性至关重要。同时，降低运输成本也有助于减轻医药机构的经济负担，提高其竞争力。此外，提高服务质量不仅有助于提升患者的就医体验和满意度，还能够提高医药配送的整体效率，这对于整个医药供应链的优化和改进具有重要的实际价值。因此，本研究不仅能够为深圳市乃至更广泛的地区的医药配送提供实际的解决方案，还能够为其他城市和地区提供可借鉴的经验。</w:t>
      </w:r>
    </w:p>
    <w:p w14:paraId="5991B514">
      <w:pPr>
        <w:spacing w:before="156" w:beforeLines="50" w:after="156" w:afterLines="50"/>
        <w:outlineLvl w:val="1"/>
        <w:rPr>
          <w:rFonts w:eastAsia="黑体"/>
          <w:b/>
          <w:bCs/>
          <w:sz w:val="28"/>
          <w:szCs w:val="28"/>
        </w:rPr>
      </w:pPr>
      <w:bookmarkStart w:id="24" w:name="_Toc29179"/>
      <w:bookmarkStart w:id="25" w:name="_Toc23127"/>
      <w:bookmarkStart w:id="26" w:name="_Toc3174"/>
      <w:r>
        <w:rPr>
          <w:rFonts w:hint="eastAsia" w:eastAsia="黑体"/>
          <w:b/>
          <w:bCs/>
          <w:sz w:val="28"/>
          <w:szCs w:val="28"/>
        </w:rPr>
        <w:t>1</w:t>
      </w:r>
      <w:r>
        <w:rPr>
          <w:rFonts w:eastAsia="黑体"/>
          <w:b/>
          <w:bCs/>
          <w:sz w:val="28"/>
          <w:szCs w:val="28"/>
        </w:rPr>
        <w:t xml:space="preserve">.3 </w:t>
      </w:r>
      <w:r>
        <w:rPr>
          <w:rFonts w:hint="eastAsia" w:eastAsia="黑体"/>
          <w:b/>
          <w:bCs/>
          <w:sz w:val="28"/>
          <w:szCs w:val="28"/>
        </w:rPr>
        <w:t>国内外研究现状及评述</w:t>
      </w:r>
      <w:bookmarkEnd w:id="24"/>
      <w:bookmarkEnd w:id="25"/>
      <w:bookmarkEnd w:id="26"/>
    </w:p>
    <w:p w14:paraId="26760FE9">
      <w:pPr>
        <w:spacing w:before="156" w:beforeLines="50" w:after="156" w:afterLines="50"/>
        <w:ind w:firstLine="420" w:firstLineChars="200"/>
        <w:rPr>
          <w:rFonts w:hint="eastAsia"/>
        </w:rPr>
      </w:pPr>
      <w:r>
        <w:rPr>
          <w:rFonts w:hint="eastAsia"/>
        </w:rPr>
        <w:t>国内外学者对车辆路径问题展开了</w:t>
      </w:r>
      <w:r>
        <w:rPr>
          <w:rFonts w:hint="eastAsia"/>
          <w:lang w:val="en-US" w:eastAsia="zh-CN"/>
        </w:rPr>
        <w:t>大批</w:t>
      </w:r>
      <w:r>
        <w:rPr>
          <w:rFonts w:hint="eastAsia"/>
        </w:rPr>
        <w:t>研究。在国外，研究者们已经开始关注区域划分与资源分配的联合优化问题，Regis-Hernández等人在2023年的研究中提出了一个混合整数线性规划模型，用于同时解决区域划分和资源分配问题，该模型通过优化救护车的调度和区域设计，最大化覆盖水平，从而提</w:t>
      </w:r>
      <w:r>
        <w:rPr>
          <w:rFonts w:hint="eastAsia"/>
          <w:lang w:val="en-US" w:eastAsia="zh-CN"/>
        </w:rPr>
        <w:t>升急救医疗服务的运作效率</w:t>
      </w:r>
      <w:r>
        <w:rPr>
          <w:rFonts w:hint="eastAsia"/>
        </w:rPr>
        <w:t>。针对配送中心、异构车队、灵活的时间窗口、周期性需求、车辆与客户之间的不兼容性等问题，Kramer R等人提出了一种多启动迭代局部搜索算法。通过应用新型混合遗传算法和禁忌搜索（GA-TS）来解决开放车辆路径问题（OVRP），该算法将 GA 的并行计算和全局优化与 TS 的禁忌搜索技能和快速局部搜索相结合。该算法应用于郑州煤矿供电有限公司运输车辆路径优化。在算法优化方面，Yu SW,Ding C等人通过应用新型混合遗传算法和禁忌搜索（GA-TS）来解决开放车辆路径问题（OVRP），该算法将 GA 的并行计算和全局优化与 TS 的禁忌搜索技能和快速局部搜索相结合。</w:t>
      </w:r>
    </w:p>
    <w:p w14:paraId="2F2C204D">
      <w:pPr>
        <w:spacing w:before="156" w:beforeLines="50" w:after="156" w:afterLines="50"/>
        <w:ind w:firstLine="420" w:firstLineChars="200"/>
        <w:rPr>
          <w:rFonts w:hint="eastAsia"/>
        </w:rPr>
      </w:pPr>
      <w:r>
        <w:rPr>
          <w:rFonts w:hint="eastAsia"/>
        </w:rPr>
        <w:t>近年来，国内学者在区域划分与物流配送路径优化领域进行了广泛研究，取得了显著进展。针对传统车辆路线规划问题在实际应用中存在的如计算距离与实际路线脱离、缺乏地理信息等因素。史亚蓉等人提出基于地理信息系统（GIS）的物流配送路线规划方法，有效解决实际问题，提高配送效率。在求解大规模车辆路径问题时，通常需要先将复杂的配送网络划分为若干小规模配送区域，谷炜等人提出基于改进K-means聚类的区域划分方法，通过优化聚类中心的选取和迭代过程，为物流配送区域划分提供了有效的解决方案。随着物流行业的不断发展，传统的固定送货模式已难以满足企业降本增效的需求。陈海木等人提出基于VRP技术的“弹性”送货模式，以适应市场变化和企业需求。该模式在Z烟草公司得到应用，实施后基本送货线路减少，相关成本大幅降低，企业效益显著提升。</w:t>
      </w:r>
    </w:p>
    <w:p w14:paraId="16F0E0B2">
      <w:pPr>
        <w:spacing w:before="156" w:beforeLines="50" w:after="156" w:afterLines="50"/>
        <w:outlineLvl w:val="1"/>
        <w:rPr>
          <w:rFonts w:hint="eastAsia" w:eastAsia="黑体"/>
          <w:b/>
          <w:bCs/>
          <w:sz w:val="28"/>
          <w:szCs w:val="28"/>
        </w:rPr>
      </w:pPr>
      <w:bookmarkStart w:id="27" w:name="_Toc3004"/>
      <w:bookmarkStart w:id="28" w:name="_Toc22975"/>
      <w:bookmarkStart w:id="29" w:name="_Toc25167"/>
      <w:r>
        <w:rPr>
          <w:rFonts w:hint="eastAsia" w:eastAsia="黑体"/>
          <w:b/>
          <w:bCs/>
          <w:sz w:val="28"/>
          <w:szCs w:val="28"/>
        </w:rPr>
        <w:t>1</w:t>
      </w:r>
      <w:r>
        <w:rPr>
          <w:rFonts w:eastAsia="黑体"/>
          <w:b/>
          <w:bCs/>
          <w:sz w:val="28"/>
          <w:szCs w:val="28"/>
        </w:rPr>
        <w:t xml:space="preserve">.4 </w:t>
      </w:r>
      <w:r>
        <w:rPr>
          <w:rFonts w:hint="eastAsia" w:eastAsia="黑体"/>
          <w:b/>
          <w:bCs/>
          <w:sz w:val="28"/>
          <w:szCs w:val="28"/>
        </w:rPr>
        <w:t>本文的研究内容、思路与方法</w:t>
      </w:r>
      <w:bookmarkEnd w:id="27"/>
      <w:bookmarkEnd w:id="28"/>
      <w:bookmarkEnd w:id="29"/>
    </w:p>
    <w:p w14:paraId="457E714B">
      <w:pPr>
        <w:spacing w:before="156" w:beforeLines="50" w:after="156" w:afterLines="50"/>
        <w:outlineLvl w:val="2"/>
        <w:rPr>
          <w:rFonts w:hint="eastAsia" w:ascii="Times New Roman" w:hAnsi="Times New Roman" w:eastAsia="宋体" w:cs="Times New Roman"/>
          <w:b/>
          <w:bCs/>
          <w:szCs w:val="21"/>
        </w:rPr>
      </w:pPr>
      <w:bookmarkStart w:id="30" w:name="_Toc2206"/>
      <w:r>
        <w:rPr>
          <w:rFonts w:hint="eastAsia" w:ascii="Times New Roman" w:hAnsi="Times New Roman" w:eastAsia="黑体" w:cs="Times New Roman"/>
          <w:b/>
          <w:bCs/>
          <w:sz w:val="24"/>
          <w:lang w:val="en-US" w:eastAsia="zh-CN"/>
        </w:rPr>
        <w:t>1.4.1 研究内容</w:t>
      </w:r>
      <w:bookmarkEnd w:id="30"/>
    </w:p>
    <w:p w14:paraId="237E25E3">
      <w:pPr>
        <w:keepNext w:val="0"/>
        <w:keepLines w:val="0"/>
        <w:widowControl/>
        <w:suppressLineNumbers w:val="0"/>
        <w:jc w:val="left"/>
        <w:rPr>
          <w:rFonts w:hint="default"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聚类算法的主要作用是在配送路径规划中将多个配送目标（定点零售药店）进行区域划分，从而减少整体配送复杂性和计算量。研究采用基于地理位置和模拟客户需求的聚类，使用K-MEANS算法，根据地理位置将配送目标划分为若干个区域。各个区域内的客户需求具有较高的相似性，可以通过一个或多个配送车辆来进行配送。通过减少需要考虑的路线数量，从而有效提高求解效率。某些地区的药品需求量很大，可以将这些地区的配送任务优先安排，使用大型车辆进行配送，而需求较小的区域则可以使用小型车辆进行配送。将配送区域进行合理划分后，针对每个子区域内的配送问题应用遗传算法（GA）求解，以最小化每个子问题的总成本。这样，原本庞大的配送问题被分解成若干个较小的子问题，使得求解变得更加高效。</w:t>
      </w:r>
    </w:p>
    <w:p w14:paraId="041959F1">
      <w:pPr>
        <w:spacing w:before="156" w:beforeLines="50" w:after="156" w:afterLines="50"/>
        <w:outlineLvl w:val="2"/>
        <w:rPr>
          <w:rFonts w:hint="default" w:ascii="Times New Roman" w:hAnsi="Times New Roman" w:eastAsia="黑体" w:cs="Times New Roman"/>
          <w:b/>
          <w:bCs/>
          <w:sz w:val="24"/>
          <w:lang w:val="en-US" w:eastAsia="zh-CN"/>
        </w:rPr>
      </w:pPr>
      <w:bookmarkStart w:id="31" w:name="_Toc28426"/>
      <w:bookmarkStart w:id="32" w:name="_Toc13114"/>
      <w:r>
        <w:rPr>
          <w:rFonts w:hint="eastAsia" w:ascii="Times New Roman" w:hAnsi="Times New Roman" w:eastAsia="黑体" w:cs="Times New Roman"/>
          <w:b/>
          <w:bCs/>
          <w:sz w:val="24"/>
          <w:lang w:val="en-US" w:eastAsia="zh-CN"/>
        </w:rPr>
        <w:t>1.4.2 研究思路</w:t>
      </w:r>
      <w:bookmarkEnd w:id="31"/>
      <w:bookmarkEnd w:id="32"/>
    </w:p>
    <w:p w14:paraId="3C9976CD">
      <w:pPr>
        <w:spacing w:before="156" w:beforeLines="50" w:after="156" w:afterLines="50"/>
        <w:ind w:firstLine="420" w:firstLineChars="200"/>
        <w:rPr>
          <w:rFonts w:hint="eastAsia" w:ascii="Times New Roman" w:hAnsi="Times New Roman" w:eastAsia="宋体" w:cs="Times New Roman"/>
          <w:szCs w:val="21"/>
          <w:lang w:val="en-US" w:eastAsia="zh-CN"/>
        </w:rPr>
      </w:pPr>
      <w:r>
        <w:rPr>
          <w:rFonts w:hint="eastAsia"/>
          <w:szCs w:val="21"/>
        </w:rPr>
        <w:t>在医保体系下，优化药品配送路径和策略对于降低物流成本、提高配送效率、确保药品供应的及时性和安全性至关重要。本文基于聚类算法和遗传算法，针对医保药品配送的特殊需求，提出一种改进配送区域与路径的方案。具体步骤如下：（1）利用深圳市零售药店的真实数据与虚拟数据结合的方式，考虑药品需求的季节性波动，以模拟真实的药品需求；（2）以深圳市三大配送中心作为聚类中心，使用聚类算法进行配送区域切分，以实现医保药品的高效配送</w:t>
      </w:r>
      <w:r>
        <w:rPr>
          <w:rFonts w:hint="eastAsia"/>
          <w:szCs w:val="21"/>
          <w:lang w:eastAsia="zh-CN"/>
        </w:rPr>
        <w:t>；（</w:t>
      </w:r>
      <w:r>
        <w:rPr>
          <w:rFonts w:hint="eastAsia"/>
          <w:szCs w:val="21"/>
          <w:lang w:val="en-US" w:eastAsia="zh-CN"/>
        </w:rPr>
        <w:t>3</w:t>
      </w:r>
      <w:r>
        <w:rPr>
          <w:rFonts w:hint="eastAsia"/>
          <w:szCs w:val="21"/>
          <w:lang w:eastAsia="zh-CN"/>
        </w:rPr>
        <w:t>）</w:t>
      </w:r>
      <w:r>
        <w:rPr>
          <w:rFonts w:hint="eastAsia"/>
          <w:szCs w:val="21"/>
          <w:lang w:val="en-US" w:eastAsia="zh-CN"/>
        </w:rPr>
        <w:t>以配送</w:t>
      </w:r>
      <w:r>
        <w:rPr>
          <w:rFonts w:hint="eastAsia" w:ascii="Times New Roman" w:hAnsi="Times New Roman" w:eastAsia="宋体" w:cs="Times New Roman"/>
          <w:szCs w:val="21"/>
          <w:lang w:val="en-US" w:eastAsia="zh-CN"/>
        </w:rPr>
        <w:t>中心为聚类中心，根据药品配送需求，</w:t>
      </w:r>
      <w:r>
        <w:rPr>
          <w:rFonts w:hint="eastAsia" w:ascii="Times New Roman" w:hAnsi="Times New Roman" w:eastAsia="宋体" w:cs="Times New Roman"/>
          <w:szCs w:val="21"/>
        </w:rPr>
        <w:t>利用遗传算法为每个区域内的定点零售药店规划最高效的配送线路</w:t>
      </w:r>
      <w:r>
        <w:rPr>
          <w:rFonts w:hint="eastAsia" w:ascii="Times New Roman" w:hAnsi="Times New Roman" w:eastAsia="宋体" w:cs="Times New Roman"/>
          <w:szCs w:val="21"/>
          <w:lang w:eastAsia="zh-CN"/>
        </w:rPr>
        <w:t>。</w:t>
      </w:r>
    </w:p>
    <w:p w14:paraId="20C4F33E">
      <w:pPr>
        <w:spacing w:before="156" w:beforeLines="50" w:after="156" w:afterLines="50"/>
        <w:outlineLvl w:val="2"/>
        <w:rPr>
          <w:rFonts w:hint="default" w:ascii="Times New Roman" w:hAnsi="Times New Roman" w:eastAsia="黑体" w:cs="Times New Roman"/>
          <w:b/>
          <w:bCs/>
          <w:sz w:val="24"/>
          <w:lang w:val="en-US" w:eastAsia="zh-CN"/>
        </w:rPr>
      </w:pPr>
      <w:bookmarkStart w:id="33" w:name="_Toc29539"/>
      <w:bookmarkStart w:id="34" w:name="_Toc4671"/>
      <w:r>
        <w:rPr>
          <w:rFonts w:hint="eastAsia" w:ascii="Times New Roman" w:hAnsi="Times New Roman" w:eastAsia="黑体" w:cs="Times New Roman"/>
          <w:b/>
          <w:bCs/>
          <w:sz w:val="24"/>
          <w:lang w:val="en-US" w:eastAsia="zh-CN"/>
        </w:rPr>
        <w:t>1.4.3 研究方法</w:t>
      </w:r>
      <w:bookmarkEnd w:id="33"/>
      <w:bookmarkEnd w:id="34"/>
    </w:p>
    <w:p w14:paraId="1EFE2D4D">
      <w:pPr>
        <w:numPr>
          <w:ilvl w:val="0"/>
          <w:numId w:val="0"/>
        </w:numPr>
        <w:spacing w:before="156" w:beforeLines="50" w:after="156" w:afterLines="50"/>
        <w:rPr>
          <w:rFonts w:hint="eastAsia" w:ascii="Times New Roman" w:hAnsi="Times New Roman" w:eastAsia="宋体" w:cs="Times New Roman"/>
          <w:b/>
          <w:bCs/>
          <w:szCs w:val="21"/>
        </w:rPr>
      </w:pPr>
      <w:bookmarkStart w:id="35" w:name="_Toc32350"/>
      <w:r>
        <w:rPr>
          <w:rFonts w:hint="eastAsia" w:ascii="Times New Roman" w:hAnsi="Times New Roman" w:eastAsia="宋体" w:cs="Times New Roman"/>
          <w:b/>
          <w:bCs/>
          <w:szCs w:val="21"/>
        </w:rPr>
        <w:t>文献研究法</w:t>
      </w:r>
      <w:bookmarkEnd w:id="35"/>
    </w:p>
    <w:p w14:paraId="5CD78D9A">
      <w:pPr>
        <w:pStyle w:val="12"/>
        <w:keepNext w:val="0"/>
        <w:keepLines w:val="0"/>
        <w:widowControl/>
        <w:suppressLineNumbers w:val="0"/>
        <w:spacing w:before="0" w:beforeAutospacing="0"/>
        <w:ind w:left="0" w:firstLine="420" w:firstLineChars="0"/>
        <w:rPr>
          <w:rFonts w:hint="eastAsia" w:ascii="Times New Roman" w:hAnsi="Times New Roman" w:eastAsia="宋体" w:cs="Times New Roman"/>
          <w:kern w:val="2"/>
          <w:sz w:val="21"/>
          <w:szCs w:val="21"/>
          <w:lang w:val="en-US" w:eastAsia="zh-CN" w:bidi="ar-SA"/>
        </w:rPr>
      </w:pPr>
      <w:bookmarkStart w:id="36" w:name="_Toc30829"/>
      <w:r>
        <w:rPr>
          <w:rFonts w:hint="default" w:ascii="Times New Roman" w:hAnsi="Times New Roman" w:eastAsia="宋体" w:cs="Times New Roman"/>
          <w:kern w:val="2"/>
          <w:sz w:val="21"/>
          <w:szCs w:val="21"/>
          <w:lang w:val="en-US" w:eastAsia="zh-CN" w:bidi="ar-SA"/>
        </w:rPr>
        <w:t>本研究采用文献研究法，旨在系统梳理医药配送路径优化领域的理论基础与研究进展。首先，通过万方数据知识平台、中国知网（CNKI）、维普期刊资源整合服务平台等国内权威数据库，检索与医药配送、聚类分析、路径优化等主题相关的中文文献，重点关注近年来医保集采政策实施后的研究动态。同时，借助ABI/INFORM Collection、ScienceDirect、IEEE Xplore等国际数据库，搜集国外在药品物流、智能算法应用等方面的前沿成果，以对比分析国内外研究差异。文献检索的关键词包括"药品配送路径优化"、"K-Means聚类"、"遗传算法"、"Vehicle Routing Problem (VRP)"等，并采用布尔逻辑运算符（AND、OR）组合关键词以提高检索精度。</w:t>
      </w:r>
    </w:p>
    <w:p w14:paraId="343F5D46">
      <w:pPr>
        <w:pStyle w:val="12"/>
        <w:keepNext w:val="0"/>
        <w:keepLines w:val="0"/>
        <w:widowControl/>
        <w:suppressLineNumbers w:val="0"/>
        <w:ind w:left="0" w:firstLine="420" w:firstLineChars="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在文献筛选阶段，本研究依据以下标准进行筛选：（1）文献发表时间以近10年为主，兼顾部分经典理论文献；（2）优先选择发表于《Transportation Research Part E》《European Journal of Operational Research》等高影响力期刊的论文；（3）重点关注包含实证分析或案例研究的文献。对筛选后的文献，采用内容分析法进行深度解读，归纳现有研究的主要方法（如聚类算法、元启发式算法）、应用场景（如冷链药品配送、紧急药品调度）及局限性（如忽略政策约束、计算复杂度高）。通过这一过程，不仅为本研究提供了理论框架，还帮助识别了学术空白，例如现有研究较少涉及医保集采政策下的多目标路径优化问题，从而明确了本研究的创新方向。</w:t>
      </w:r>
    </w:p>
    <w:p w14:paraId="6D40D9BE">
      <w:pPr>
        <w:numPr>
          <w:ilvl w:val="0"/>
          <w:numId w:val="0"/>
        </w:numPr>
        <w:spacing w:before="156" w:beforeLines="50" w:after="156" w:afterLines="50"/>
        <w:rPr>
          <w:rFonts w:hint="eastAsia" w:ascii="Times New Roman" w:hAnsi="Times New Roman" w:eastAsia="宋体" w:cs="Times New Roman"/>
          <w:b/>
          <w:bCs/>
          <w:szCs w:val="21"/>
        </w:rPr>
      </w:pPr>
      <w:r>
        <w:rPr>
          <w:rFonts w:hint="eastAsia" w:ascii="Times New Roman" w:hAnsi="Times New Roman" w:eastAsia="宋体" w:cs="Times New Roman"/>
          <w:b/>
          <w:bCs/>
          <w:szCs w:val="21"/>
        </w:rPr>
        <w:t>实证研究法</w:t>
      </w:r>
      <w:bookmarkEnd w:id="36"/>
    </w:p>
    <w:p w14:paraId="3CD3E215">
      <w:pPr>
        <w:pStyle w:val="12"/>
        <w:keepNext w:val="0"/>
        <w:keepLines w:val="0"/>
        <w:widowControl/>
        <w:suppressLineNumbers w:val="0"/>
        <w:ind w:left="0" w:firstLine="420" w:firstLineChars="0"/>
        <w:rPr>
          <w:rFonts w:hint="default"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本</w:t>
      </w:r>
      <w:r>
        <w:rPr>
          <w:rFonts w:hint="default" w:ascii="Times New Roman" w:hAnsi="Times New Roman" w:eastAsia="宋体" w:cs="Times New Roman"/>
          <w:kern w:val="2"/>
          <w:sz w:val="21"/>
          <w:szCs w:val="21"/>
          <w:lang w:val="en-US" w:eastAsia="zh-CN" w:bidi="ar-SA"/>
        </w:rPr>
        <w:t>本研究采用实证研究方法，通过理论分析与实际验证相结合的方式展开研究。首先基于现有文献和深圳市药品配送的基本情况，建立一个结合K-Means聚类和遗传算法的优化模型。在模型构建过程中，主要考虑药店的地理位置和药品需求两个关键因素，使用Python编程实现算法。在模型验证环节，通过模拟生成符合实际情况的测试数据，对模型的有效性进行检验。具体包括：</w:t>
      </w:r>
    </w:p>
    <w:p w14:paraId="10DA1A4E">
      <w:pPr>
        <w:pStyle w:val="12"/>
        <w:keepNext w:val="0"/>
        <w:keepLines w:val="0"/>
        <w:widowControl/>
        <w:numPr>
          <w:ilvl w:val="0"/>
          <w:numId w:val="1"/>
        </w:numPr>
        <w:suppressLineNumbers w:val="0"/>
        <w:ind w:left="425" w:leftChars="0" w:hanging="425" w:firstLineChars="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比较优化前后的配送路径总长度</w:t>
      </w:r>
    </w:p>
    <w:p w14:paraId="38E42FAE">
      <w:pPr>
        <w:pStyle w:val="12"/>
        <w:keepNext w:val="0"/>
        <w:keepLines w:val="0"/>
        <w:widowControl/>
        <w:numPr>
          <w:ilvl w:val="0"/>
          <w:numId w:val="1"/>
        </w:numPr>
        <w:suppressLineNumbers w:val="0"/>
        <w:ind w:left="425" w:leftChars="0" w:hanging="425" w:firstLineChars="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分析不同参数设置对算法效果的影响</w:t>
      </w:r>
    </w:p>
    <w:p w14:paraId="34B55C68">
      <w:pPr>
        <w:pStyle w:val="12"/>
        <w:keepNext w:val="0"/>
        <w:keepLines w:val="0"/>
        <w:widowControl/>
        <w:numPr>
          <w:ilvl w:val="0"/>
          <w:numId w:val="1"/>
        </w:numPr>
        <w:suppressLineNumbers w:val="0"/>
        <w:ind w:left="425" w:leftChars="0" w:hanging="425" w:firstLineChars="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测试算法在不同规模数据集上的运行效率</w:t>
      </w:r>
    </w:p>
    <w:p w14:paraId="63B8F876">
      <w:pPr>
        <w:pStyle w:val="12"/>
        <w:keepNext w:val="0"/>
        <w:keepLines w:val="0"/>
        <w:widowControl/>
        <w:suppressLineNumbers w:val="0"/>
        <w:ind w:left="0" w:firstLine="420" w:firstLineChars="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为了增强研究的实用性，还参考了公开的深圳市</w:t>
      </w:r>
      <w:r>
        <w:rPr>
          <w:rFonts w:hint="eastAsia" w:cs="Times New Roman"/>
          <w:kern w:val="2"/>
          <w:sz w:val="21"/>
          <w:szCs w:val="21"/>
          <w:lang w:val="en-US" w:eastAsia="zh-CN" w:bidi="ar-SA"/>
        </w:rPr>
        <w:t>医疗保障体系下的定点零售药店数据</w:t>
      </w:r>
      <w:r>
        <w:rPr>
          <w:rFonts w:hint="default" w:ascii="Times New Roman" w:hAnsi="Times New Roman" w:eastAsia="宋体" w:cs="Times New Roman"/>
          <w:kern w:val="2"/>
          <w:sz w:val="21"/>
          <w:szCs w:val="21"/>
          <w:lang w:val="en-US" w:eastAsia="zh-CN" w:bidi="ar-SA"/>
        </w:rPr>
        <w:t>，将模型结果与实际情况</w:t>
      </w:r>
      <w:r>
        <w:rPr>
          <w:rFonts w:hint="eastAsia" w:cs="Times New Roman"/>
          <w:kern w:val="2"/>
          <w:sz w:val="21"/>
          <w:szCs w:val="21"/>
          <w:lang w:val="en-US" w:eastAsia="zh-CN" w:bidi="ar-SA"/>
        </w:rPr>
        <w:t>相结合</w:t>
      </w:r>
      <w:r>
        <w:rPr>
          <w:rFonts w:hint="default" w:ascii="Times New Roman" w:hAnsi="Times New Roman" w:eastAsia="宋体" w:cs="Times New Roman"/>
          <w:kern w:val="2"/>
          <w:sz w:val="21"/>
          <w:szCs w:val="21"/>
          <w:lang w:val="en-US" w:eastAsia="zh-CN" w:bidi="ar-SA"/>
        </w:rPr>
        <w:t>。通过这一系列验证工作，评估所提方法在缩短配送距离、提高运输效率等方面的实际效果，为药品配送路径优化提供参考依据。整个研究过程注重理论与实践的有机结合，确保研究结果既具有学术价值，又具备实际参考意义</w:t>
      </w:r>
    </w:p>
    <w:p w14:paraId="4B586254">
      <w:pPr>
        <w:pStyle w:val="12"/>
        <w:keepNext w:val="0"/>
        <w:keepLines w:val="0"/>
        <w:widowControl/>
        <w:suppressLineNumbers w:val="0"/>
        <w:ind w:left="0" w:firstLine="420" w:firstLineChars="0"/>
        <w:jc w:val="center"/>
        <w:rPr>
          <w:rFonts w:hint="eastAsia" w:eastAsia="黑体"/>
          <w:b/>
          <w:bCs/>
          <w:sz w:val="30"/>
          <w:szCs w:val="30"/>
        </w:rPr>
      </w:pPr>
      <w:r>
        <w:rPr>
          <w:rFonts w:eastAsia="黑体"/>
          <w:b/>
          <w:bCs/>
          <w:sz w:val="30"/>
          <w:szCs w:val="30"/>
        </w:rPr>
        <w:t xml:space="preserve">2 </w:t>
      </w:r>
      <w:r>
        <w:rPr>
          <w:rFonts w:hint="eastAsia" w:eastAsia="黑体"/>
          <w:b/>
          <w:bCs/>
          <w:sz w:val="30"/>
          <w:szCs w:val="30"/>
        </w:rPr>
        <w:t>使用K-MEANS进行区域划分</w:t>
      </w:r>
    </w:p>
    <w:p w14:paraId="699541C2">
      <w:pPr>
        <w:spacing w:before="156" w:beforeLines="50" w:after="156" w:afterLines="50"/>
        <w:outlineLvl w:val="1"/>
        <w:rPr>
          <w:rFonts w:eastAsia="黑体"/>
          <w:b/>
          <w:bCs/>
          <w:sz w:val="28"/>
          <w:szCs w:val="28"/>
        </w:rPr>
      </w:pPr>
      <w:bookmarkStart w:id="37" w:name="_Toc8037"/>
      <w:bookmarkStart w:id="38" w:name="_Toc9469"/>
      <w:bookmarkStart w:id="39" w:name="_Toc29265"/>
      <w:r>
        <w:rPr>
          <w:rFonts w:eastAsia="黑体"/>
          <w:b/>
          <w:bCs/>
          <w:sz w:val="28"/>
          <w:szCs w:val="28"/>
        </w:rPr>
        <w:t xml:space="preserve">2.1 </w:t>
      </w:r>
      <w:r>
        <w:rPr>
          <w:rFonts w:hint="eastAsia" w:eastAsia="黑体"/>
          <w:b/>
          <w:bCs/>
          <w:sz w:val="28"/>
          <w:szCs w:val="28"/>
        </w:rPr>
        <w:t>K-Means区域划分方法</w:t>
      </w:r>
      <w:bookmarkEnd w:id="37"/>
      <w:bookmarkEnd w:id="38"/>
      <w:bookmarkEnd w:id="39"/>
    </w:p>
    <w:p w14:paraId="308E9BA2">
      <w:pPr>
        <w:spacing w:before="156" w:beforeLines="50" w:after="156" w:afterLines="50"/>
        <w:ind w:firstLine="420" w:firstLineChars="200"/>
        <w:rPr>
          <w:rFonts w:hint="eastAsia" w:cs="Times New Roman"/>
          <w:szCs w:val="21"/>
          <w:lang w:val="en-US" w:eastAsia="zh-CN"/>
        </w:rPr>
      </w:pPr>
      <w:r>
        <w:rPr>
          <w:rFonts w:hint="eastAsia" w:ascii="Times New Roman" w:hAnsi="Times New Roman" w:eastAsia="宋体" w:cs="Times New Roman"/>
          <w:szCs w:val="21"/>
        </w:rPr>
        <w:t>区域划分是物流、城市规划和市场细分等领域中的一个关键问题。</w:t>
      </w:r>
      <w:r>
        <w:rPr>
          <w:rFonts w:hint="eastAsia" w:ascii="Times New Roman" w:hAnsi="Times New Roman" w:eastAsia="宋体"/>
          <w:szCs w:val="21"/>
        </w:rPr>
        <w:t>通过将地理区域细分为多个子区域，可以更有效地分配资源、提升服务效率并降低运营成本。本研究采用K-Means算法进行区域划分，以优化路径规划和资源配置。K-Means算法以其简洁高效的特点，广泛应用于聚类分析中</w:t>
      </w:r>
      <w:r>
        <w:rPr>
          <w:rFonts w:hint="eastAsia" w:ascii="Times New Roman" w:hAnsi="Times New Roman" w:eastAsia="宋体" w:cs="Times New Roman"/>
          <w:szCs w:val="21"/>
        </w:rPr>
        <w:t>适用于处理大规模数据集，能够将数据点划分为K个簇，每个簇包含相似的数据点</w:t>
      </w:r>
      <w:r>
        <w:rPr>
          <w:rFonts w:hint="eastAsia" w:cs="Times New Roman"/>
          <w:szCs w:val="21"/>
          <w:lang w:eastAsia="zh-CN"/>
        </w:rPr>
        <w:t>。</w:t>
      </w:r>
      <w:r>
        <w:rPr>
          <w:rFonts w:hint="eastAsia" w:cs="Times New Roman"/>
          <w:szCs w:val="21"/>
          <w:lang w:val="en-US" w:eastAsia="zh-CN"/>
        </w:rPr>
        <w:t>本文使用K-Means进行聚类的原因主要有：</w:t>
      </w:r>
    </w:p>
    <w:p w14:paraId="19EFBAA3">
      <w:pPr>
        <w:pStyle w:val="12"/>
        <w:keepNext w:val="0"/>
        <w:keepLines w:val="0"/>
        <w:widowControl/>
        <w:suppressLineNumbers w:val="0"/>
        <w:spacing w:before="0" w:beforeAutospacing="1" w:after="0" w:afterAutospacing="1"/>
        <w:ind w:left="0" w:right="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b/>
          <w:bCs/>
          <w:kern w:val="2"/>
          <w:sz w:val="21"/>
          <w:szCs w:val="21"/>
          <w:lang w:val="en-US" w:eastAsia="zh-CN" w:bidi="ar-SA"/>
        </w:rPr>
        <w:t>计算效率高，适用于大规模数据</w:t>
      </w:r>
      <w:r>
        <w:rPr>
          <w:rFonts w:hint="eastAsia" w:ascii="Times New Roman" w:hAnsi="Times New Roman" w:eastAsia="宋体" w:cs="Times New Roman"/>
          <w:b/>
          <w:bCs/>
          <w:kern w:val="2"/>
          <w:sz w:val="21"/>
          <w:szCs w:val="21"/>
          <w:lang w:val="en-US" w:eastAsia="zh-CN" w:bidi="ar-SA"/>
        </w:rPr>
        <w:br w:type="textWrapping"/>
      </w:r>
      <w:r>
        <w:rPr>
          <w:rFonts w:hint="eastAsia" w:ascii="Times New Roman" w:hAnsi="Times New Roman" w:eastAsia="宋体" w:cs="Times New Roman"/>
          <w:b/>
          <w:bCs/>
          <w:kern w:val="2"/>
          <w:sz w:val="21"/>
          <w:szCs w:val="21"/>
          <w:lang w:val="en-US" w:eastAsia="zh-CN" w:bidi="ar-SA"/>
        </w:rPr>
        <w:tab/>
      </w:r>
      <w:r>
        <w:rPr>
          <w:rFonts w:hint="eastAsia" w:ascii="Times New Roman" w:hAnsi="Times New Roman" w:eastAsia="宋体"/>
          <w:kern w:val="2"/>
          <w:sz w:val="21"/>
          <w:szCs w:val="21"/>
          <w:lang w:val="en-US" w:eastAsia="zh-CN"/>
        </w:rPr>
        <w:t>K-Means是一种迭代优化的聚类算法，具有较低的计算复杂度，能够迅速收敛并得到稳定的聚类结果。因此，它在处理大规模地理数据时表现出较强的优势</w:t>
      </w:r>
      <w:r>
        <w:rPr>
          <w:rFonts w:hint="eastAsia" w:ascii="Times New Roman" w:hAnsi="Times New Roman" w:eastAsia="宋体" w:cs="Times New Roman"/>
          <w:kern w:val="2"/>
          <w:sz w:val="21"/>
          <w:szCs w:val="21"/>
          <w:lang w:val="en-US" w:eastAsia="zh-CN" w:bidi="ar-SA"/>
        </w:rPr>
        <w:t>，尤其适用于本研究涉及的 5000+ 零售药店地理坐标数据。相比于一些计算复杂度较高的聚类方法（如层次聚类），K-Means 能够在短时间内完成计算，从而提高区域划分的效率。</w:t>
      </w:r>
    </w:p>
    <w:p w14:paraId="3F542341">
      <w:pPr>
        <w:pStyle w:val="12"/>
        <w:keepNext w:val="0"/>
        <w:keepLines w:val="0"/>
        <w:widowControl/>
        <w:suppressLineNumbers w:val="0"/>
        <w:spacing w:before="0" w:beforeAutospacing="1" w:after="0" w:afterAutospacing="1"/>
        <w:ind w:left="0" w:right="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b/>
          <w:bCs/>
          <w:kern w:val="2"/>
          <w:sz w:val="21"/>
          <w:szCs w:val="21"/>
          <w:lang w:val="en-US" w:eastAsia="zh-CN" w:bidi="ar-SA"/>
        </w:rPr>
        <w:t>适用于地理空间数据的聚类分析</w:t>
      </w:r>
      <w:r>
        <w:rPr>
          <w:rFonts w:hint="eastAsia" w:ascii="Times New Roman" w:hAnsi="Times New Roman" w:eastAsia="宋体" w:cs="Times New Roman"/>
          <w:kern w:val="2"/>
          <w:sz w:val="21"/>
          <w:szCs w:val="21"/>
          <w:lang w:val="en-US" w:eastAsia="zh-CN" w:bidi="ar-SA"/>
        </w:rPr>
        <w:br w:type="textWrapping"/>
      </w:r>
      <w:r>
        <w:rPr>
          <w:rFonts w:hint="eastAsia" w:ascii="Times New Roman" w:hAnsi="Times New Roman" w:eastAsia="宋体" w:cs="Times New Roman"/>
          <w:kern w:val="2"/>
          <w:sz w:val="21"/>
          <w:szCs w:val="21"/>
          <w:lang w:val="en-US" w:eastAsia="zh-CN" w:bidi="ar-SA"/>
        </w:rPr>
        <w:tab/>
      </w:r>
      <w:r>
        <w:rPr>
          <w:rFonts w:hint="eastAsia" w:ascii="Times New Roman" w:hAnsi="Times New Roman" w:eastAsia="宋体" w:cs="Times New Roman"/>
          <w:kern w:val="2"/>
          <w:sz w:val="21"/>
          <w:szCs w:val="21"/>
          <w:lang w:val="en-US" w:eastAsia="zh-CN" w:bidi="ar-SA"/>
        </w:rPr>
        <w:t>在地理信息分析中，</w:t>
      </w:r>
      <w:r>
        <w:rPr>
          <w:rFonts w:hint="eastAsia" w:ascii="Times New Roman" w:hAnsi="Times New Roman" w:eastAsia="宋体"/>
          <w:kern w:val="2"/>
          <w:sz w:val="21"/>
          <w:szCs w:val="21"/>
          <w:lang w:val="en-US" w:eastAsia="zh-CN"/>
        </w:rPr>
        <w:t>K-Means是一个经典的无监督学习方法</w:t>
      </w:r>
      <w:r>
        <w:rPr>
          <w:rFonts w:hint="eastAsia" w:ascii="Times New Roman" w:hAnsi="Times New Roman" w:eastAsia="宋体" w:cs="Times New Roman"/>
          <w:kern w:val="2"/>
          <w:sz w:val="21"/>
          <w:szCs w:val="21"/>
          <w:lang w:val="en-US" w:eastAsia="zh-CN" w:bidi="ar-SA"/>
        </w:rPr>
        <w:t>，能够有效地将相邻的地理区域归为同一类，从而形成合理的物流配送区域。此外，K-Means 可以灵活地引入其他影响因素（如人口密度、交通便利性等），从而优化区域划分的合理性。</w:t>
      </w:r>
    </w:p>
    <w:p w14:paraId="619C59FC">
      <w:pPr>
        <w:pStyle w:val="12"/>
        <w:keepNext w:val="0"/>
        <w:keepLines w:val="0"/>
        <w:widowControl/>
        <w:suppressLineNumbers w:val="0"/>
        <w:spacing w:before="0" w:beforeAutospacing="1" w:after="0" w:afterAutospacing="1"/>
        <w:ind w:left="0" w:right="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b/>
          <w:bCs/>
          <w:kern w:val="2"/>
          <w:sz w:val="21"/>
          <w:szCs w:val="21"/>
          <w:lang w:val="en-US" w:eastAsia="zh-CN" w:bidi="ar-SA"/>
        </w:rPr>
        <w:t>广泛应用于物流、市场分析等领域</w:t>
      </w:r>
      <w:r>
        <w:rPr>
          <w:rFonts w:hint="eastAsia" w:ascii="Times New Roman" w:hAnsi="Times New Roman" w:eastAsia="宋体" w:cs="Times New Roman"/>
          <w:kern w:val="2"/>
          <w:sz w:val="21"/>
          <w:szCs w:val="21"/>
          <w:lang w:val="en-US" w:eastAsia="zh-CN" w:bidi="ar-SA"/>
        </w:rPr>
        <w:br w:type="textWrapping"/>
      </w:r>
      <w:r>
        <w:rPr>
          <w:rFonts w:hint="eastAsia" w:ascii="Times New Roman" w:hAnsi="Times New Roman" w:eastAsia="宋体" w:cs="Times New Roman"/>
          <w:kern w:val="2"/>
          <w:sz w:val="21"/>
          <w:szCs w:val="21"/>
          <w:lang w:val="en-US" w:eastAsia="zh-CN" w:bidi="ar-SA"/>
        </w:rPr>
        <w:tab/>
      </w:r>
      <w:r>
        <w:rPr>
          <w:rFonts w:hint="eastAsia" w:ascii="Times New Roman" w:hAnsi="Times New Roman" w:eastAsia="宋体"/>
          <w:kern w:val="2"/>
          <w:sz w:val="21"/>
          <w:szCs w:val="21"/>
          <w:lang w:val="en-US" w:eastAsia="zh-CN"/>
        </w:rPr>
        <w:t>K-Means已广泛应用于多个领域，如物流配送、城市规划和市场区域划分等。在物流行业，K-Means可用于区域划分，优化配送路线并降低成本；在市场分析中，它帮助根据消费者分布进行市场细分，从而提升营销效果。因此，考虑到本研究的实际需求，K-Means是一种理想的选择。</w:t>
      </w:r>
    </w:p>
    <w:p w14:paraId="622BE106">
      <w:pPr>
        <w:pStyle w:val="12"/>
        <w:keepNext w:val="0"/>
        <w:keepLines w:val="0"/>
        <w:widowControl/>
        <w:suppressLineNumbers w:val="0"/>
        <w:spacing w:before="0" w:beforeAutospacing="1" w:after="0" w:afterAutospacing="1"/>
        <w:ind w:right="0"/>
        <w:jc w:val="left"/>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本研究使用 K-Means 进行区域划分的主要步骤如下：</w:t>
      </w:r>
    </w:p>
    <w:p w14:paraId="3F3470F4">
      <w:pPr>
        <w:pStyle w:val="12"/>
        <w:keepNext w:val="0"/>
        <w:keepLines w:val="0"/>
        <w:widowControl/>
        <w:numPr>
          <w:ilvl w:val="0"/>
          <w:numId w:val="2"/>
        </w:numPr>
        <w:suppressLineNumbers w:val="0"/>
        <w:spacing w:before="0" w:beforeAutospacing="1" w:after="0" w:afterAutospacing="1"/>
        <w:ind w:left="425" w:leftChars="0" w:right="0" w:hanging="425" w:firstLineChars="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b/>
          <w:bCs/>
          <w:kern w:val="2"/>
          <w:sz w:val="21"/>
          <w:szCs w:val="21"/>
          <w:lang w:val="en-US" w:eastAsia="zh-CN" w:bidi="ar-SA"/>
        </w:rPr>
        <w:t>中心点初始化：</w:t>
      </w:r>
      <w:r>
        <w:rPr>
          <w:rFonts w:hint="eastAsia" w:ascii="Times New Roman" w:hAnsi="Times New Roman" w:eastAsia="宋体" w:cs="Times New Roman"/>
          <w:kern w:val="2"/>
          <w:sz w:val="21"/>
          <w:szCs w:val="21"/>
          <w:lang w:val="en-US" w:eastAsia="zh-CN" w:bidi="ar-SA"/>
        </w:rPr>
        <w:br w:type="textWrapping"/>
      </w:r>
      <w:r>
        <w:rPr>
          <w:rFonts w:hint="eastAsia" w:ascii="Times New Roman" w:hAnsi="Times New Roman" w:eastAsia="宋体" w:cs="Times New Roman"/>
          <w:kern w:val="2"/>
          <w:sz w:val="21"/>
          <w:szCs w:val="21"/>
          <w:lang w:val="en-US" w:eastAsia="zh-CN" w:bidi="ar-SA"/>
        </w:rPr>
        <w:t>将初始中心点设置为深圳市三个配送中心的地理坐标。这一步骤是算法的起点，对最终的聚类结果有重要影响。</w:t>
      </w:r>
    </w:p>
    <w:p w14:paraId="6A3BE307">
      <w:pPr>
        <w:pStyle w:val="12"/>
        <w:keepNext w:val="0"/>
        <w:keepLines w:val="0"/>
        <w:widowControl/>
        <w:numPr>
          <w:ilvl w:val="0"/>
          <w:numId w:val="2"/>
        </w:numPr>
        <w:suppressLineNumbers w:val="0"/>
        <w:spacing w:before="0" w:beforeAutospacing="1" w:after="0" w:afterAutospacing="1"/>
        <w:ind w:left="425" w:leftChars="0" w:right="0" w:hanging="425" w:firstLineChars="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b/>
          <w:bCs/>
          <w:kern w:val="2"/>
          <w:sz w:val="21"/>
          <w:szCs w:val="21"/>
          <w:lang w:val="en-US" w:eastAsia="zh-CN" w:bidi="ar-SA"/>
        </w:rPr>
        <w:t>聚类指标纳入：</w:t>
      </w:r>
      <w:r>
        <w:rPr>
          <w:rFonts w:hint="eastAsia" w:ascii="Times New Roman" w:hAnsi="Times New Roman" w:eastAsia="宋体" w:cs="Times New Roman"/>
          <w:kern w:val="2"/>
          <w:sz w:val="21"/>
          <w:szCs w:val="21"/>
          <w:lang w:val="en-US" w:eastAsia="zh-CN" w:bidi="ar-SA"/>
        </w:rPr>
        <w:br w:type="textWrapping"/>
      </w:r>
      <w:r>
        <w:rPr>
          <w:rFonts w:hint="eastAsia" w:ascii="Times New Roman" w:hAnsi="Times New Roman" w:eastAsia="宋体" w:cs="Times New Roman"/>
          <w:kern w:val="2"/>
          <w:sz w:val="21"/>
          <w:szCs w:val="21"/>
          <w:lang w:val="en-US" w:eastAsia="zh-CN" w:bidi="ar-SA"/>
        </w:rPr>
        <w:t>将数据中的经度、纬度以及地区人口系数纳入聚类指标。每个数据点根据这些指标被分配到最近的中心点所对应的簇。这一步骤确保了聚类结果不仅考虑地理位置，还考虑了人口分布等因素。</w:t>
      </w:r>
    </w:p>
    <w:p w14:paraId="79FBF85E">
      <w:pPr>
        <w:pStyle w:val="12"/>
        <w:keepNext w:val="0"/>
        <w:keepLines w:val="0"/>
        <w:widowControl/>
        <w:numPr>
          <w:ilvl w:val="0"/>
          <w:numId w:val="2"/>
        </w:numPr>
        <w:suppressLineNumbers w:val="0"/>
        <w:spacing w:before="0" w:beforeAutospacing="1" w:after="0" w:afterAutospacing="1"/>
        <w:ind w:left="425" w:leftChars="0" w:right="0" w:hanging="425" w:firstLineChars="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b/>
          <w:bCs/>
          <w:kern w:val="2"/>
          <w:sz w:val="21"/>
          <w:szCs w:val="21"/>
          <w:lang w:val="en-US" w:eastAsia="zh-CN" w:bidi="ar-SA"/>
        </w:rPr>
        <w:t>迭代计算与优化：</w:t>
      </w:r>
      <w:r>
        <w:rPr>
          <w:rFonts w:hint="eastAsia" w:ascii="Times New Roman" w:hAnsi="Times New Roman" w:eastAsia="宋体" w:cs="Times New Roman"/>
          <w:kern w:val="2"/>
          <w:sz w:val="21"/>
          <w:szCs w:val="21"/>
          <w:lang w:val="en-US" w:eastAsia="zh-CN" w:bidi="ar-SA"/>
        </w:rPr>
        <w:br w:type="textWrapping"/>
      </w:r>
      <w:r>
        <w:rPr>
          <w:rFonts w:hint="eastAsia" w:ascii="Times New Roman" w:hAnsi="Times New Roman" w:eastAsia="宋体" w:cs="Times New Roman"/>
          <w:kern w:val="2"/>
          <w:sz w:val="21"/>
          <w:szCs w:val="21"/>
          <w:lang w:val="en-US" w:eastAsia="zh-CN" w:bidi="ar-SA"/>
        </w:rPr>
        <w:t>迭代计算每个簇的均值，并将新的均值作为该簇的中心点。通过梯度下降法找出最佳轮廓系数，以优化聚类结果。这一步骤是 K-Means 算法的核心，通过不断迭代优化簇中心，提高聚类质量。</w:t>
      </w:r>
    </w:p>
    <w:p w14:paraId="7D062EB8">
      <w:pPr>
        <w:spacing w:before="156" w:beforeLines="50" w:after="156" w:afterLines="50"/>
        <w:outlineLvl w:val="1"/>
        <w:rPr>
          <w:rFonts w:hint="eastAsia" w:ascii="Times New Roman" w:hAnsi="Times New Roman" w:eastAsia="黑体" w:cs="Times New Roman"/>
          <w:b/>
          <w:bCs/>
          <w:sz w:val="28"/>
          <w:szCs w:val="28"/>
          <w:lang w:val="en-US" w:eastAsia="zh-CN"/>
        </w:rPr>
      </w:pPr>
      <w:bookmarkStart w:id="40" w:name="_Toc17473"/>
      <w:bookmarkStart w:id="41" w:name="_Toc19881"/>
      <w:bookmarkStart w:id="42" w:name="_Toc14320"/>
      <w:r>
        <w:rPr>
          <w:rFonts w:hint="eastAsia" w:ascii="Times New Roman" w:hAnsi="Times New Roman" w:eastAsia="黑体" w:cs="Times New Roman"/>
          <w:b/>
          <w:bCs/>
          <w:sz w:val="28"/>
          <w:szCs w:val="28"/>
          <w:lang w:val="en-US" w:eastAsia="zh-CN"/>
        </w:rPr>
        <w:t>2.2 数据集与预处理</w:t>
      </w:r>
      <w:bookmarkEnd w:id="40"/>
      <w:bookmarkEnd w:id="41"/>
      <w:bookmarkEnd w:id="42"/>
    </w:p>
    <w:p w14:paraId="48C10A14">
      <w:pPr>
        <w:pStyle w:val="12"/>
        <w:keepNext w:val="0"/>
        <w:keepLines w:val="0"/>
        <w:widowControl/>
        <w:suppressLineNumbers w:val="0"/>
        <w:spacing w:before="0" w:beforeAutospacing="1" w:after="0" w:afterAutospacing="1"/>
        <w:ind w:left="0" w:right="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本研究使用了包含 5000 多个定点零售药店地理坐标点的数据集，每个数据点包含纬度和经度信息</w:t>
      </w:r>
      <w:r>
        <w:rPr>
          <w:rFonts w:hint="eastAsia" w:ascii="Times New Roman" w:hAnsi="Times New Roman" w:eastAsia="宋体" w:cs="Times New Roman"/>
          <w:kern w:val="2"/>
          <w:sz w:val="21"/>
          <w:szCs w:val="21"/>
          <w:lang w:val="en-US" w:eastAsia="zh-CN" w:bidi="ar-SA"/>
        </w:rPr>
        <w:t>。由于数据采集过程涉及使用api对地理信息进行查询以获取经纬度，因此会存在一定的误差</w:t>
      </w:r>
      <w:r>
        <w:rPr>
          <w:rFonts w:hint="default" w:ascii="Times New Roman" w:hAnsi="Times New Roman" w:eastAsia="宋体" w:cs="Times New Roman"/>
          <w:kern w:val="2"/>
          <w:sz w:val="21"/>
          <w:szCs w:val="21"/>
          <w:lang w:val="en-US" w:eastAsia="zh-CN" w:bidi="ar-SA"/>
        </w:rPr>
        <w:t>。为了确保数据质量并提高 K-Means 算法的稳定性，本研究在数据预处理阶段进行了去除异常值和数据标准化。首先，采用四分位距（IQR）方法识别并去除异常坐标点，以减少极端值对聚类结果的干扰。其次，针对地理坐标数据，应用 Min-Max 归一化进行数据标准化，以消除量纲影响，使所有数据特征处于相同尺度范围，提高 K-Means 聚类的计算精度和收敛效率。</w:t>
      </w:r>
    </w:p>
    <w:p w14:paraId="733A03C9">
      <w:pPr>
        <w:pStyle w:val="12"/>
        <w:keepNext w:val="0"/>
        <w:keepLines w:val="0"/>
        <w:widowControl/>
        <w:suppressLineNumbers w:val="0"/>
        <w:spacing w:before="0" w:beforeAutospacing="1" w:after="0" w:afterAutospacing="1"/>
        <w:ind w:left="0" w:right="0"/>
        <w:jc w:val="left"/>
        <w:outlineLvl w:val="2"/>
        <w:rPr>
          <w:rFonts w:hint="default" w:ascii="Times New Roman" w:hAnsi="Times New Roman" w:eastAsia="黑体" w:cs="Times New Roman"/>
          <w:b/>
          <w:bCs/>
          <w:kern w:val="2"/>
          <w:sz w:val="24"/>
          <w:szCs w:val="24"/>
          <w:lang w:val="en-US" w:eastAsia="zh-CN" w:bidi="ar-SA"/>
        </w:rPr>
      </w:pPr>
      <w:bookmarkStart w:id="43" w:name="_Toc12321"/>
      <w:r>
        <w:rPr>
          <w:rFonts w:hint="eastAsia" w:ascii="Times New Roman" w:hAnsi="Times New Roman" w:eastAsia="黑体" w:cs="Times New Roman"/>
          <w:b/>
          <w:bCs/>
          <w:kern w:val="2"/>
          <w:sz w:val="24"/>
          <w:szCs w:val="24"/>
          <w:lang w:val="en-US" w:eastAsia="zh-CN" w:bidi="ar-SA"/>
        </w:rPr>
        <w:t>2.2.1 去除异常值</w:t>
      </w:r>
      <w:bookmarkEnd w:id="43"/>
    </w:p>
    <w:p w14:paraId="57200679">
      <w:pPr>
        <w:pStyle w:val="12"/>
        <w:keepNext w:val="0"/>
        <w:keepLines w:val="0"/>
        <w:widowControl/>
        <w:suppressLineNumbers w:val="0"/>
        <w:spacing w:before="0" w:beforeAutospacing="1" w:after="0" w:afterAutospacing="1"/>
        <w:ind w:left="0" w:right="0" w:firstLine="420" w:firstLineChars="0"/>
        <w:jc w:val="left"/>
        <w:rPr>
          <w:rFonts w:hint="eastAsia"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四分位距（Interquartile Range, IQR）法是一种基于数据分布特性的稳健异常值检测方法。其核心是通过计算数据的四分位距（IQR=Q3-Q1）来确定正常值的范围区间，其中Q1和Q3分别代表数据的第25和第75百分位数。相比于基于均值-标准差的检测方法，IQR法具有以下显著优势</w:t>
      </w:r>
      <w:r>
        <w:rPr>
          <w:rFonts w:hint="eastAsia" w:ascii="Times New Roman" w:hAnsi="Times New Roman" w:eastAsia="宋体" w:cs="Times New Roman"/>
          <w:kern w:val="2"/>
          <w:sz w:val="21"/>
          <w:szCs w:val="21"/>
          <w:lang w:val="en-US" w:eastAsia="zh-CN" w:bidi="ar-SA"/>
        </w:rPr>
        <w:t>有</w:t>
      </w:r>
      <w:r>
        <w:rPr>
          <w:rFonts w:hint="default" w:ascii="Times New Roman" w:hAnsi="Times New Roman" w:eastAsia="宋体" w:cs="Times New Roman"/>
          <w:kern w:val="2"/>
          <w:sz w:val="21"/>
          <w:szCs w:val="21"/>
          <w:lang w:val="en-US" w:eastAsia="zh-CN" w:bidi="ar-SA"/>
        </w:rPr>
        <w:t>对数据分布形态无严格要求，不依赖于正态分布假设；</w:t>
      </w:r>
      <w:r>
        <w:rPr>
          <w:rFonts w:hint="eastAsia" w:ascii="Times New Roman" w:hAnsi="Times New Roman" w:eastAsia="宋体" w:cs="Times New Roman"/>
          <w:kern w:val="2"/>
          <w:sz w:val="21"/>
          <w:szCs w:val="21"/>
          <w:lang w:val="en-US" w:eastAsia="zh-CN" w:bidi="ar-SA"/>
        </w:rPr>
        <w:t>且</w:t>
      </w:r>
      <w:r>
        <w:rPr>
          <w:rFonts w:hint="default" w:ascii="Times New Roman" w:hAnsi="Times New Roman" w:eastAsia="宋体" w:cs="Times New Roman"/>
          <w:kern w:val="2"/>
          <w:sz w:val="21"/>
          <w:szCs w:val="21"/>
          <w:lang w:val="en-US" w:eastAsia="zh-CN" w:bidi="ar-SA"/>
        </w:rPr>
        <w:t>受极端值影响小，具有更强的鲁棒性</w:t>
      </w:r>
      <w:r>
        <w:rPr>
          <w:rFonts w:hint="eastAsia" w:ascii="Times New Roman" w:hAnsi="Times New Roman" w:eastAsia="宋体" w:cs="Times New Roman"/>
          <w:kern w:val="2"/>
          <w:sz w:val="21"/>
          <w:szCs w:val="21"/>
          <w:lang w:val="en-US" w:eastAsia="zh-CN" w:bidi="ar-SA"/>
        </w:rPr>
        <w:t>。</w:t>
      </w:r>
    </w:p>
    <w:p w14:paraId="2B68B1F1">
      <w:pPr>
        <w:pStyle w:val="12"/>
        <w:keepNext w:val="0"/>
        <w:keepLines w:val="0"/>
        <w:widowControl/>
        <w:suppressLineNumbers w:val="0"/>
        <w:spacing w:before="0" w:beforeAutospacing="1" w:after="0" w:afterAutospacing="1"/>
        <w:ind w:right="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本研究将IQR法应用于地理坐标数据的异常值检测，具体实施步骤如下：</w:t>
      </w:r>
      <w:r>
        <w:rPr>
          <w:rFonts w:hint="default" w:ascii="Times New Roman" w:hAnsi="Times New Roman" w:eastAsia="宋体" w:cs="Times New Roman"/>
          <w:kern w:val="2"/>
          <w:sz w:val="21"/>
          <w:szCs w:val="21"/>
          <w:lang w:val="en-US" w:eastAsia="zh-CN" w:bidi="ar-SA"/>
        </w:rPr>
        <w:br w:type="textWrapping"/>
      </w:r>
      <w:r>
        <w:rPr>
          <w:rFonts w:hint="default" w:ascii="Times New Roman" w:hAnsi="Times New Roman" w:eastAsia="宋体" w:cs="Times New Roman"/>
          <w:kern w:val="2"/>
          <w:sz w:val="21"/>
          <w:szCs w:val="21"/>
          <w:lang w:val="en-US" w:eastAsia="zh-CN" w:bidi="ar-SA"/>
        </w:rPr>
        <w:t>（1）分别计算经度和纬度维度的Q1和Q3；</w:t>
      </w:r>
      <w:r>
        <w:rPr>
          <w:rFonts w:hint="default" w:ascii="Times New Roman" w:hAnsi="Times New Roman" w:eastAsia="宋体" w:cs="Times New Roman"/>
          <w:kern w:val="2"/>
          <w:sz w:val="21"/>
          <w:szCs w:val="21"/>
          <w:lang w:val="en-US" w:eastAsia="zh-CN" w:bidi="ar-SA"/>
        </w:rPr>
        <w:br w:type="textWrapping"/>
      </w:r>
      <w:r>
        <w:rPr>
          <w:rFonts w:hint="default" w:ascii="Times New Roman" w:hAnsi="Times New Roman" w:eastAsia="宋体" w:cs="Times New Roman"/>
          <w:kern w:val="2"/>
          <w:sz w:val="21"/>
          <w:szCs w:val="21"/>
          <w:lang w:val="en-US" w:eastAsia="zh-CN" w:bidi="ar-SA"/>
        </w:rPr>
        <w:t>（2）确定各维度的IQR值及边界范围；</w:t>
      </w:r>
      <w:r>
        <w:rPr>
          <w:rFonts w:hint="default" w:ascii="Times New Roman" w:hAnsi="Times New Roman" w:eastAsia="宋体" w:cs="Times New Roman"/>
          <w:kern w:val="2"/>
          <w:sz w:val="21"/>
          <w:szCs w:val="21"/>
          <w:lang w:val="en-US" w:eastAsia="zh-CN" w:bidi="ar-SA"/>
        </w:rPr>
        <w:br w:type="textWrapping"/>
      </w:r>
      <w:r>
        <w:rPr>
          <w:rFonts w:hint="default" w:ascii="Times New Roman" w:hAnsi="Times New Roman" w:eastAsia="宋体" w:cs="Times New Roman"/>
          <w:kern w:val="2"/>
          <w:sz w:val="21"/>
          <w:szCs w:val="21"/>
          <w:lang w:val="en-US" w:eastAsia="zh-CN" w:bidi="ar-SA"/>
        </w:rPr>
        <w:t>（3）设定1.5倍IQR作为阈值，即：正常值范围 = [Q1-1.5×IQR, Q3+1.5×IQR]</w:t>
      </w:r>
      <w:r>
        <w:rPr>
          <w:rFonts w:hint="default" w:ascii="Times New Roman" w:hAnsi="Times New Roman" w:eastAsia="宋体" w:cs="Times New Roman"/>
          <w:kern w:val="2"/>
          <w:sz w:val="21"/>
          <w:szCs w:val="21"/>
          <w:lang w:val="en-US" w:eastAsia="zh-CN" w:bidi="ar-SA"/>
        </w:rPr>
        <w:br w:type="textWrapping"/>
      </w:r>
      <w:r>
        <w:rPr>
          <w:rFonts w:hint="default" w:ascii="Times New Roman" w:hAnsi="Times New Roman" w:eastAsia="宋体" w:cs="Times New Roman"/>
          <w:kern w:val="2"/>
          <w:sz w:val="21"/>
          <w:szCs w:val="21"/>
          <w:lang w:val="en-US" w:eastAsia="zh-CN" w:bidi="ar-SA"/>
        </w:rPr>
        <w:t>（4）对于任一空间坐标点，若其经度或纬度任一维度超出对应正常范围，则判定为异常点予以剔除。该方法有效解决了城市POI数据中因定位误差或录入错误导致的异常坐标问题。</w:t>
      </w:r>
    </w:p>
    <w:p w14:paraId="5B6B6C76">
      <w:pPr>
        <w:pStyle w:val="12"/>
        <w:keepNext w:val="0"/>
        <w:keepLines w:val="0"/>
        <w:widowControl/>
        <w:suppressLineNumbers w:val="0"/>
        <w:spacing w:before="0" w:beforeAutospacing="1" w:after="0" w:afterAutospacing="1"/>
        <w:ind w:left="0" w:right="0"/>
        <w:jc w:val="left"/>
        <w:outlineLvl w:val="2"/>
        <w:rPr>
          <w:rFonts w:hint="eastAsia" w:ascii="Times New Roman" w:hAnsi="Times New Roman" w:eastAsia="黑体" w:cs="Times New Roman"/>
          <w:b/>
          <w:bCs/>
          <w:kern w:val="2"/>
          <w:sz w:val="24"/>
          <w:szCs w:val="24"/>
          <w:lang w:val="en-US" w:eastAsia="zh-CN" w:bidi="ar-SA"/>
        </w:rPr>
      </w:pPr>
      <w:bookmarkStart w:id="44" w:name="_Toc13738"/>
      <w:r>
        <w:rPr>
          <w:rFonts w:hint="eastAsia" w:ascii="Times New Roman" w:hAnsi="Times New Roman" w:eastAsia="黑体" w:cs="Times New Roman"/>
          <w:b/>
          <w:bCs/>
          <w:kern w:val="2"/>
          <w:sz w:val="24"/>
          <w:szCs w:val="24"/>
          <w:lang w:val="en-US" w:eastAsia="zh-CN" w:bidi="ar-SA"/>
        </w:rPr>
        <w:t>2.2.2 数据归一化</w:t>
      </w:r>
      <w:bookmarkEnd w:id="44"/>
    </w:p>
    <w:p w14:paraId="5844C4DA">
      <w:pPr>
        <w:pStyle w:val="12"/>
        <w:keepNext w:val="0"/>
        <w:keepLines w:val="0"/>
        <w:widowControl/>
        <w:suppressLineNumbers w:val="0"/>
        <w:spacing w:before="0" w:beforeAutospacing="1" w:after="0" w:afterAutospacing="1"/>
        <w:ind w:right="0" w:firstLine="420" w:firstLineChars="0"/>
        <w:jc w:val="left"/>
        <w:rPr>
          <w:rFonts w:hint="eastAsia"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K-Means等基于距离的算法对数值尺度敏感。未经标准化的经纬度数据会导致聚类迭代次数增加，且易陷入局部最优解。</w:t>
      </w:r>
      <w:r>
        <w:rPr>
          <w:rFonts w:hint="eastAsia" w:ascii="Times New Roman" w:hAnsi="Times New Roman" w:eastAsia="宋体" w:cs="Times New Roman"/>
          <w:kern w:val="2"/>
          <w:sz w:val="21"/>
          <w:szCs w:val="21"/>
          <w:lang w:val="en-US" w:eastAsia="zh-CN" w:bidi="ar-SA"/>
        </w:rPr>
        <w:t>故需要对原数据进行归一化。最大最小归一化(</w:t>
      </w:r>
      <w:r>
        <w:rPr>
          <w:rFonts w:hint="default" w:ascii="Times New Roman" w:hAnsi="Times New Roman" w:eastAsia="宋体" w:cs="Times New Roman"/>
          <w:kern w:val="2"/>
          <w:sz w:val="21"/>
          <w:szCs w:val="21"/>
          <w:lang w:val="en-US" w:eastAsia="zh-CN" w:bidi="ar-SA"/>
        </w:rPr>
        <w:t>Min-Ma</w:t>
      </w:r>
      <w:r>
        <w:rPr>
          <w:rFonts w:hint="eastAsia" w:ascii="Times New Roman" w:hAnsi="Times New Roman" w:eastAsia="宋体" w:cs="Times New Roman"/>
          <w:kern w:val="2"/>
          <w:sz w:val="21"/>
          <w:szCs w:val="21"/>
          <w:lang w:val="en-US" w:eastAsia="zh-CN" w:bidi="ar-SA"/>
        </w:rPr>
        <w:t xml:space="preserve">x </w:t>
      </w:r>
      <w:r>
        <w:rPr>
          <w:rFonts w:hint="default" w:ascii="Times New Roman" w:hAnsi="Times New Roman" w:eastAsia="宋体" w:cs="Times New Roman"/>
          <w:kern w:val="2"/>
          <w:sz w:val="21"/>
          <w:szCs w:val="21"/>
          <w:lang w:val="en-US" w:eastAsia="zh-CN" w:bidi="ar-SA"/>
        </w:rPr>
        <w:t>Normalization</w:t>
      </w:r>
      <w:r>
        <w:rPr>
          <w:rFonts w:hint="eastAsia" w:ascii="Times New Roman" w:hAnsi="Times New Roman" w:eastAsia="宋体" w:cs="Times New Roman"/>
          <w:kern w:val="2"/>
          <w:sz w:val="21"/>
          <w:szCs w:val="21"/>
          <w:lang w:val="en-US" w:eastAsia="zh-CN" w:bidi="ar-SA"/>
        </w:rPr>
        <w:t>)</w:t>
      </w:r>
      <w:r>
        <w:rPr>
          <w:rFonts w:hint="default" w:ascii="Times New Roman" w:hAnsi="Times New Roman" w:eastAsia="宋体" w:cs="Times New Roman"/>
          <w:kern w:val="2"/>
          <w:sz w:val="21"/>
          <w:szCs w:val="21"/>
          <w:lang w:val="en-US" w:eastAsia="zh-CN" w:bidi="ar-SA"/>
        </w:rPr>
        <w:t>是一种线性变换方法</w:t>
      </w:r>
      <w:r>
        <w:rPr>
          <w:rFonts w:hint="eastAsia" w:ascii="Times New Roman" w:hAnsi="Times New Roman" w:eastAsia="宋体" w:cs="Times New Roman"/>
          <w:kern w:val="2"/>
          <w:sz w:val="21"/>
          <w:szCs w:val="21"/>
          <w:lang w:val="en-US" w:eastAsia="zh-CN" w:bidi="ar-SA"/>
        </w:rPr>
        <w:t>，其公式为：</w:t>
      </w:r>
    </w:p>
    <w:p w14:paraId="0F3DD009">
      <w:pPr>
        <w:pStyle w:val="12"/>
        <w:keepNext w:val="0"/>
        <w:keepLines w:val="0"/>
        <w:widowControl/>
        <w:suppressLineNumbers w:val="0"/>
        <w:spacing w:before="0" w:beforeAutospacing="1" w:after="0" w:afterAutospacing="1"/>
        <w:ind w:right="0" w:firstLine="420" w:firstLineChars="0"/>
        <w:jc w:val="center"/>
        <w:rPr>
          <w:rFonts w:hint="default" w:ascii="Times New Roman" w:hAnsi="Times New Roman" w:eastAsia="宋体" w:cs="Times New Roman"/>
          <w:kern w:val="2"/>
          <w:sz w:val="21"/>
          <w:szCs w:val="21"/>
          <w:lang w:val="en-US" w:eastAsia="zh-CN" w:bidi="ar-SA"/>
        </w:rPr>
      </w:pPr>
      <w:r>
        <w:rPr>
          <w:position w:val="-30"/>
          <w:sz w:val="24"/>
        </w:rPr>
        <w:object>
          <v:shape id="_x0000_i1025" o:spt="75" type="#_x0000_t75" style="height:34pt;width:87pt;" o:ole="t" filled="f" o:preferrelative="t" stroked="f" coordsize="21600,21600">
            <v:path/>
            <v:fill on="f" focussize="0,0"/>
            <v:stroke on="f"/>
            <v:imagedata r:id="rId8" o:title=""/>
            <o:lock v:ext="edit" aspectratio="t"/>
            <w10:wrap type="none"/>
            <w10:anchorlock/>
          </v:shape>
          <o:OLEObject Type="Embed" ProgID="Equation.3" ShapeID="_x0000_i1025" DrawAspect="Content" ObjectID="_1468075725" r:id="rId7">
            <o:LockedField>false</o:LockedField>
          </o:OLEObject>
        </w:object>
      </w:r>
    </w:p>
    <w:p w14:paraId="5532BB24">
      <w:pPr>
        <w:pStyle w:val="12"/>
        <w:keepNext w:val="0"/>
        <w:keepLines w:val="0"/>
        <w:widowControl/>
        <w:suppressLineNumbers w:val="0"/>
        <w:spacing w:before="0" w:beforeAutospacing="1" w:after="0" w:afterAutospacing="1"/>
        <w:ind w:right="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该方法将原始数据线性映射到[0,1]区间，</w:t>
      </w:r>
      <w:r>
        <w:rPr>
          <w:rFonts w:hint="eastAsia" w:ascii="Times New Roman" w:hAnsi="Times New Roman" w:eastAsia="宋体" w:cs="Times New Roman"/>
          <w:kern w:val="2"/>
          <w:sz w:val="21"/>
          <w:szCs w:val="21"/>
          <w:lang w:val="en-US" w:eastAsia="zh-CN" w:bidi="ar-SA"/>
        </w:rPr>
        <w:t>且能</w:t>
      </w:r>
      <w:r>
        <w:rPr>
          <w:rFonts w:hint="default" w:ascii="Times New Roman" w:hAnsi="Times New Roman" w:eastAsia="宋体" w:cs="Times New Roman"/>
          <w:kern w:val="2"/>
          <w:sz w:val="21"/>
          <w:szCs w:val="21"/>
          <w:lang w:val="en-US" w:eastAsia="zh-CN" w:bidi="ar-SA"/>
        </w:rPr>
        <w:t>保持原始数据的相对关系不变</w:t>
      </w:r>
      <w:r>
        <w:rPr>
          <w:rFonts w:hint="eastAsia" w:ascii="Times New Roman" w:hAnsi="Times New Roman" w:eastAsia="宋体" w:cs="Times New Roman"/>
          <w:kern w:val="2"/>
          <w:sz w:val="21"/>
          <w:szCs w:val="21"/>
          <w:lang w:val="en-US" w:eastAsia="zh-CN" w:bidi="ar-SA"/>
        </w:rPr>
        <w:t>，</w:t>
      </w:r>
      <w:r>
        <w:rPr>
          <w:rFonts w:hint="default" w:ascii="Times New Roman" w:hAnsi="Times New Roman" w:eastAsia="宋体" w:cs="Times New Roman"/>
          <w:kern w:val="2"/>
          <w:sz w:val="21"/>
          <w:szCs w:val="21"/>
          <w:lang w:val="en-US" w:eastAsia="zh-CN" w:bidi="ar-SA"/>
        </w:rPr>
        <w:t>对数据分布没有特定要求</w:t>
      </w:r>
      <w:r>
        <w:rPr>
          <w:rFonts w:hint="eastAsia" w:ascii="Times New Roman" w:hAnsi="Times New Roman" w:eastAsia="宋体" w:cs="Times New Roman"/>
          <w:kern w:val="2"/>
          <w:sz w:val="21"/>
          <w:szCs w:val="21"/>
          <w:lang w:val="en-US" w:eastAsia="zh-CN" w:bidi="ar-SA"/>
        </w:rPr>
        <w:t>。故本研究采用最大最小归一化对原始数据集进行标准化。</w:t>
      </w:r>
    </w:p>
    <w:p w14:paraId="53F7E487">
      <w:pPr>
        <w:pStyle w:val="12"/>
        <w:keepNext w:val="0"/>
        <w:keepLines w:val="0"/>
        <w:widowControl/>
        <w:suppressLineNumbers w:val="0"/>
        <w:spacing w:before="0" w:beforeAutospacing="1" w:after="0" w:afterAutospacing="1"/>
        <w:ind w:left="0" w:right="0"/>
        <w:jc w:val="left"/>
        <w:outlineLvl w:val="2"/>
        <w:rPr>
          <w:rFonts w:hint="default" w:ascii="Times New Roman" w:hAnsi="Times New Roman" w:eastAsia="黑体" w:cs="Times New Roman"/>
          <w:b/>
          <w:bCs/>
          <w:kern w:val="2"/>
          <w:sz w:val="24"/>
          <w:szCs w:val="24"/>
          <w:lang w:val="en-US" w:eastAsia="zh-CN" w:bidi="ar-SA"/>
        </w:rPr>
      </w:pPr>
      <w:bookmarkStart w:id="45" w:name="_Toc16110"/>
      <w:r>
        <w:rPr>
          <w:rFonts w:hint="eastAsia" w:ascii="Times New Roman" w:hAnsi="Times New Roman" w:eastAsia="黑体" w:cs="Times New Roman"/>
          <w:b/>
          <w:bCs/>
          <w:kern w:val="2"/>
          <w:sz w:val="24"/>
          <w:szCs w:val="24"/>
          <w:lang w:val="en-US" w:eastAsia="zh-CN" w:bidi="ar-SA"/>
        </w:rPr>
        <w:t>2.2.3 最终效果展示</w:t>
      </w:r>
      <w:bookmarkEnd w:id="45"/>
    </w:p>
    <w:p w14:paraId="06748072">
      <w:pPr>
        <w:pStyle w:val="12"/>
        <w:keepNext w:val="0"/>
        <w:keepLines w:val="0"/>
        <w:widowControl/>
        <w:suppressLineNumbers w:val="0"/>
        <w:spacing w:before="0" w:beforeAutospacing="1" w:after="0" w:afterAutospacing="1"/>
        <w:ind w:left="0" w:right="0" w:firstLine="420" w:firstLineChars="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经过数据清理与标准化后，最终得到优化后的数据集。图 1 展示了零售药店地理坐标点的分布情况 以及 K-Means 算法对区域划分的最终效果，直观反映了算法的聚类性能和优化后的数据分布。</w:t>
      </w:r>
    </w:p>
    <w:p w14:paraId="25037EFD">
      <w:pPr>
        <w:pStyle w:val="12"/>
        <w:keepNext w:val="0"/>
        <w:keepLines w:val="0"/>
        <w:widowControl/>
        <w:numPr>
          <w:ilvl w:val="0"/>
          <w:numId w:val="0"/>
        </w:numPr>
        <w:suppressLineNumbers w:val="0"/>
        <w:spacing w:before="0" w:beforeAutospacing="1" w:after="0" w:afterAutospacing="1"/>
        <w:ind w:right="0" w:rightChars="0"/>
        <w:jc w:val="center"/>
      </w:pPr>
      <w:r>
        <w:drawing>
          <wp:inline distT="0" distB="0" distL="114300" distR="114300">
            <wp:extent cx="5085715" cy="3228340"/>
            <wp:effectExtent l="0" t="0" r="4445" b="254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9"/>
                    <a:stretch>
                      <a:fillRect/>
                    </a:stretch>
                  </pic:blipFill>
                  <pic:spPr>
                    <a:xfrm>
                      <a:off x="0" y="0"/>
                      <a:ext cx="5085715" cy="3228340"/>
                    </a:xfrm>
                    <a:prstGeom prst="rect">
                      <a:avLst/>
                    </a:prstGeom>
                    <a:noFill/>
                    <a:ln>
                      <a:noFill/>
                    </a:ln>
                  </pic:spPr>
                </pic:pic>
              </a:graphicData>
            </a:graphic>
          </wp:inline>
        </w:drawing>
      </w:r>
    </w:p>
    <w:p w14:paraId="3A94AF90">
      <w:pPr>
        <w:pStyle w:val="5"/>
        <w:keepNext w:val="0"/>
        <w:keepLines w:val="0"/>
        <w:widowControl/>
        <w:numPr>
          <w:ilvl w:val="0"/>
          <w:numId w:val="0"/>
        </w:numPr>
        <w:suppressLineNumbers w:val="0"/>
        <w:spacing w:before="0" w:beforeAutospacing="1" w:after="0" w:afterAutospacing="1"/>
        <w:ind w:right="0" w:rightChars="0"/>
        <w:jc w:val="center"/>
        <w:rPr>
          <w:rFonts w:hint="default" w:ascii="Times New Roman" w:hAnsi="Times New Roman" w:eastAsia="宋体" w:cs="Times New Roman"/>
          <w:kern w:val="2"/>
          <w:sz w:val="18"/>
          <w:szCs w:val="18"/>
          <w:lang w:val="en-US" w:eastAsia="zh-CN" w:bidi="ar-SA"/>
        </w:rPr>
      </w:pPr>
      <w:r>
        <w:rPr>
          <w:rFonts w:ascii="Times New Roman" w:hAnsi="Times New Roman" w:eastAsia="宋体" w:cs="Times New Roman"/>
          <w:kern w:val="2"/>
          <w:sz w:val="18"/>
          <w:szCs w:val="18"/>
          <w:lang w:val="en-US" w:eastAsia="zh-CN" w:bidi="ar-SA"/>
        </w:rPr>
        <w:t xml:space="preserve">图 </w:t>
      </w:r>
      <w:r>
        <w:rPr>
          <w:rFonts w:ascii="Times New Roman" w:hAnsi="Times New Roman" w:eastAsia="宋体" w:cs="Times New Roman"/>
          <w:kern w:val="2"/>
          <w:sz w:val="18"/>
          <w:szCs w:val="18"/>
          <w:lang w:val="en-US" w:eastAsia="zh-CN" w:bidi="ar-SA"/>
        </w:rPr>
        <w:fldChar w:fldCharType="begin"/>
      </w:r>
      <w:r>
        <w:rPr>
          <w:rFonts w:ascii="Times New Roman" w:hAnsi="Times New Roman" w:eastAsia="宋体" w:cs="Times New Roman"/>
          <w:kern w:val="2"/>
          <w:sz w:val="18"/>
          <w:szCs w:val="18"/>
          <w:lang w:val="en-US" w:eastAsia="zh-CN" w:bidi="ar-SA"/>
        </w:rPr>
        <w:instrText xml:space="preserve"> SEQ 图 \* ARABIC </w:instrText>
      </w:r>
      <w:r>
        <w:rPr>
          <w:rFonts w:ascii="Times New Roman" w:hAnsi="Times New Roman" w:eastAsia="宋体" w:cs="Times New Roman"/>
          <w:kern w:val="2"/>
          <w:sz w:val="18"/>
          <w:szCs w:val="18"/>
          <w:lang w:val="en-US" w:eastAsia="zh-CN" w:bidi="ar-SA"/>
        </w:rPr>
        <w:fldChar w:fldCharType="separate"/>
      </w:r>
      <w:r>
        <w:rPr>
          <w:rFonts w:ascii="Times New Roman" w:hAnsi="Times New Roman" w:eastAsia="宋体" w:cs="Times New Roman"/>
          <w:kern w:val="2"/>
          <w:sz w:val="18"/>
          <w:szCs w:val="18"/>
          <w:lang w:val="en-US" w:eastAsia="zh-CN" w:bidi="ar-SA"/>
        </w:rPr>
        <w:t>1</w:t>
      </w:r>
      <w:r>
        <w:rPr>
          <w:rFonts w:ascii="Times New Roman" w:hAnsi="Times New Roman" w:eastAsia="宋体" w:cs="Times New Roman"/>
          <w:kern w:val="2"/>
          <w:sz w:val="18"/>
          <w:szCs w:val="18"/>
          <w:lang w:val="en-US" w:eastAsia="zh-CN" w:bidi="ar-SA"/>
        </w:rPr>
        <w:fldChar w:fldCharType="end"/>
      </w:r>
      <w:r>
        <w:rPr>
          <w:rFonts w:hint="eastAsia" w:ascii="Times New Roman" w:hAnsi="Times New Roman" w:eastAsia="宋体" w:cs="Times New Roman"/>
          <w:kern w:val="2"/>
          <w:sz w:val="18"/>
          <w:szCs w:val="18"/>
          <w:lang w:val="en-US" w:eastAsia="zh-CN" w:bidi="ar-SA"/>
        </w:rPr>
        <w:t xml:space="preserve"> 区域划分后定点零售药店与配送中心的映射图</w:t>
      </w:r>
    </w:p>
    <w:p w14:paraId="6CB602F9">
      <w:pPr>
        <w:spacing w:before="156" w:beforeLines="50" w:after="156" w:afterLines="50"/>
        <w:jc w:val="center"/>
        <w:outlineLvl w:val="0"/>
        <w:rPr>
          <w:rFonts w:hint="eastAsia" w:eastAsia="黑体"/>
          <w:b/>
          <w:bCs/>
          <w:sz w:val="30"/>
          <w:szCs w:val="30"/>
        </w:rPr>
      </w:pPr>
      <w:bookmarkStart w:id="46" w:name="_Toc13175"/>
      <w:bookmarkStart w:id="47" w:name="_Toc15574"/>
      <w:bookmarkStart w:id="48" w:name="_Toc7364"/>
      <w:r>
        <w:rPr>
          <w:rFonts w:eastAsia="黑体"/>
          <w:b/>
          <w:bCs/>
          <w:sz w:val="30"/>
          <w:szCs w:val="30"/>
        </w:rPr>
        <w:t xml:space="preserve">3 </w:t>
      </w:r>
      <w:r>
        <w:rPr>
          <w:rFonts w:hint="eastAsia" w:eastAsia="黑体"/>
          <w:b/>
          <w:bCs/>
          <w:sz w:val="30"/>
          <w:szCs w:val="30"/>
        </w:rPr>
        <w:t>采集药品配送路径选择</w:t>
      </w:r>
      <w:bookmarkEnd w:id="46"/>
      <w:bookmarkEnd w:id="47"/>
      <w:bookmarkEnd w:id="48"/>
    </w:p>
    <w:p w14:paraId="48AA5207">
      <w:pPr>
        <w:spacing w:before="156" w:beforeLines="50" w:after="156" w:afterLines="50"/>
        <w:outlineLvl w:val="1"/>
        <w:rPr>
          <w:rFonts w:eastAsia="黑体"/>
          <w:b/>
          <w:bCs/>
          <w:sz w:val="28"/>
          <w:szCs w:val="28"/>
        </w:rPr>
      </w:pPr>
      <w:bookmarkStart w:id="49" w:name="_Toc16460"/>
      <w:bookmarkStart w:id="50" w:name="_Toc19216"/>
      <w:bookmarkStart w:id="51" w:name="_Toc5741"/>
      <w:r>
        <w:rPr>
          <w:rFonts w:eastAsia="黑体"/>
          <w:b/>
          <w:bCs/>
          <w:sz w:val="28"/>
          <w:szCs w:val="28"/>
        </w:rPr>
        <w:t xml:space="preserve">3.1 </w:t>
      </w:r>
      <w:r>
        <w:rPr>
          <w:rFonts w:hint="eastAsia" w:eastAsia="黑体"/>
          <w:b/>
          <w:bCs/>
          <w:sz w:val="28"/>
          <w:szCs w:val="28"/>
        </w:rPr>
        <w:t>构建约束条件</w:t>
      </w:r>
      <w:bookmarkEnd w:id="49"/>
      <w:bookmarkEnd w:id="50"/>
      <w:bookmarkEnd w:id="51"/>
    </w:p>
    <w:p w14:paraId="63B0A6CF">
      <w:pPr>
        <w:spacing w:before="156" w:beforeLines="50" w:after="156" w:afterLines="50"/>
        <w:ind w:firstLine="420" w:firstLineChars="0"/>
        <w:outlineLvl w:val="9"/>
        <w:rPr>
          <w:rFonts w:hint="eastAsia" w:ascii="Times New Roman" w:hAnsi="Times New Roman" w:eastAsia="宋体" w:cs="Times New Roman"/>
          <w:kern w:val="2"/>
          <w:sz w:val="21"/>
          <w:szCs w:val="21"/>
          <w:lang w:val="en-US" w:eastAsia="zh-CN" w:bidi="ar-SA"/>
        </w:rPr>
      </w:pPr>
      <w:bookmarkStart w:id="52" w:name="_Toc17977"/>
      <w:r>
        <w:rPr>
          <w:rFonts w:hint="eastAsia" w:ascii="Times New Roman" w:hAnsi="Times New Roman" w:eastAsia="宋体" w:cs="Times New Roman"/>
          <w:b/>
          <w:bCs/>
          <w:kern w:val="2"/>
          <w:sz w:val="21"/>
          <w:szCs w:val="21"/>
          <w:lang w:val="en-US" w:eastAsia="zh-CN" w:bidi="ar-SA"/>
        </w:rPr>
        <w:t>药品选择：</w:t>
      </w:r>
      <w:r>
        <w:rPr>
          <w:rFonts w:hint="eastAsia" w:ascii="Times New Roman" w:hAnsi="Times New Roman" w:eastAsia="宋体" w:cs="Times New Roman"/>
          <w:kern w:val="2"/>
          <w:sz w:val="21"/>
          <w:szCs w:val="21"/>
          <w:lang w:val="en-US" w:eastAsia="zh-CN" w:bidi="ar-SA"/>
        </w:rPr>
        <w:t>阿司匹林作为一种经典的抗血栓药物，广泛应用于心血管疾病、脑血管疾病等慢性疾病的预防和治疗。其在医保目录中的纳入情况也反映了其重要性。根据国家医保目录（2023版和2024版），阿司匹林的多种剂型（如口服常释剂型、肠溶缓释片、缓释控释剂型）已被纳入医保范围，其中口服常释剂型（不含分散片）为医保甲类药品，其他剂型为医保乙类药品。阿司匹林进入医保的时间可以追溯到2000年代初，随着医保目录的不断更新和调整，其覆盖范围不断扩大。例如，在2023年和2024年的医保目录中，阿司匹林的多种剂型均被纳入医保，进一步保障了患者的用药需求。</w:t>
      </w:r>
      <w:bookmarkEnd w:id="52"/>
    </w:p>
    <w:p w14:paraId="4DB677AD">
      <w:pPr>
        <w:spacing w:before="156" w:beforeLines="50" w:after="156" w:afterLines="50"/>
        <w:outlineLvl w:val="9"/>
        <w:rPr>
          <w:rFonts w:hint="eastAsia" w:ascii="Times New Roman" w:hAnsi="Times New Roman" w:eastAsia="宋体" w:cs="Times New Roman"/>
          <w:kern w:val="2"/>
          <w:sz w:val="21"/>
          <w:szCs w:val="21"/>
          <w:lang w:val="en-US" w:eastAsia="zh-CN" w:bidi="ar-SA"/>
        </w:rPr>
      </w:pPr>
      <w:bookmarkStart w:id="53" w:name="_Toc9991"/>
      <w:bookmarkStart w:id="54" w:name="_Toc15281"/>
      <w:r>
        <w:rPr>
          <w:rFonts w:hint="eastAsia" w:ascii="Times New Roman" w:hAnsi="Times New Roman" w:eastAsia="宋体" w:cs="Times New Roman"/>
          <w:kern w:val="2"/>
          <w:sz w:val="21"/>
          <w:szCs w:val="21"/>
          <w:lang w:val="en-US" w:eastAsia="zh-CN" w:bidi="ar-SA"/>
        </w:rPr>
        <w:t>在本研究中，为了简化模型的构建，选取单盒阿司匹林的质量和体积作为模型的基本参数。阿司匹林在定点零售药店的需求量一直保持较高水平，尤其是在慢性病患者群体中，其需求具有较高的稳定性和持续性。</w:t>
      </w:r>
      <w:bookmarkEnd w:id="53"/>
      <w:bookmarkEnd w:id="54"/>
    </w:p>
    <w:p w14:paraId="3D1ED080">
      <w:pPr>
        <w:pStyle w:val="12"/>
        <w:keepNext w:val="0"/>
        <w:keepLines w:val="0"/>
        <w:widowControl/>
        <w:suppressLineNumbers w:val="0"/>
        <w:spacing w:before="0" w:beforeAutospacing="0"/>
        <w:ind w:left="0" w:firstLine="0"/>
        <w:rPr>
          <w:rFonts w:hint="eastAsia" w:ascii="Times New Roman" w:hAnsi="Times New Roman" w:eastAsia="宋体" w:cs="Times New Roman"/>
          <w:kern w:val="2"/>
          <w:sz w:val="21"/>
          <w:szCs w:val="21"/>
          <w:lang w:val="en-US" w:eastAsia="zh-CN" w:bidi="ar-SA"/>
        </w:rPr>
      </w:pPr>
      <w:bookmarkStart w:id="55" w:name="_Toc23805"/>
      <w:bookmarkStart w:id="56" w:name="_Toc24136"/>
      <w:r>
        <w:rPr>
          <w:rFonts w:hint="eastAsia" w:ascii="Times New Roman" w:hAnsi="Times New Roman" w:eastAsia="宋体" w:cs="Times New Roman"/>
          <w:b/>
          <w:bCs/>
          <w:kern w:val="2"/>
          <w:sz w:val="21"/>
          <w:szCs w:val="21"/>
          <w:lang w:val="en-US" w:eastAsia="zh-CN" w:bidi="ar-SA"/>
        </w:rPr>
        <w:t>车辆选择：</w:t>
      </w:r>
      <w:bookmarkEnd w:id="55"/>
      <w:bookmarkEnd w:id="56"/>
      <w:r>
        <w:rPr>
          <w:rFonts w:hint="default" w:ascii="Times New Roman" w:hAnsi="Times New Roman" w:eastAsia="宋体" w:cs="Times New Roman"/>
          <w:kern w:val="2"/>
          <w:sz w:val="21"/>
          <w:szCs w:val="21"/>
          <w:lang w:val="en-US" w:eastAsia="zh-CN" w:bidi="ar-SA"/>
        </w:rPr>
        <w:t>在车辆选择方面，本研究基于实际配送需求进行了多维度考量。针对医保药品配送的特性，我们对市场上常见的运输车型进行了系统性的评估比较。考虑到药品配送具有单次批量适中、配送点密集、时效性要求高等特点，我们重点考察了轻型货车的各项性能指标。这类车型的载重范围通常在1.8吨至6吨之间，能够较好地适应城市内药品配送的需求。通过对不同车型的载重能力、车厢容积、燃油效率、城市通行便利性以及运营成本等因素的综合分析，我们发现中型货车在各方面表现最为均衡。</w:t>
      </w:r>
    </w:p>
    <w:p w14:paraId="2254E7BB">
      <w:pPr>
        <w:pStyle w:val="12"/>
        <w:keepNext w:val="0"/>
        <w:keepLines w:val="0"/>
        <w:widowControl/>
        <w:suppressLineNumbers w:val="0"/>
        <w:ind w:left="0" w:firstLine="0"/>
        <w:rPr>
          <w:rFonts w:hint="eastAsia"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经过详细的成本效益评估和实地考察，本研究最终确定选用货拉拉平台的中型货车作为主要运输工具。该车型的具体参数为：载重能力2吨，车厢容积19.8立方米，完全满足日常药品配送的需求。这一选择主要基于以下几个方面的考量：首先，从载重能力来看，2吨的载重上限能够覆盖绝大多数配送场景的需求，同时避免了运力浪费；其次，19.8立方米的车厢容积为药品运输提供了充足的空间，特别是考虑到部分药品需要特殊包装或温控设备的情况；再次，该车型在燃油经济性方面表现优异，百公里油耗控制在合理范围内；最后，其车身尺寸符合城市道路限行规定，能够确保配送的时效性。</w:t>
      </w:r>
    </w:p>
    <w:p w14:paraId="07AFD3EB">
      <w:pPr>
        <w:spacing w:before="156" w:beforeLines="50" w:after="156" w:afterLines="50"/>
        <w:ind w:firstLine="420" w:firstLineChars="0"/>
        <w:outlineLvl w:val="9"/>
        <w:rPr>
          <w:rFonts w:hint="eastAsia" w:ascii="Times New Roman" w:hAnsi="Times New Roman" w:eastAsia="宋体" w:cs="Times New Roman"/>
          <w:b/>
          <w:bCs/>
          <w:kern w:val="2"/>
          <w:sz w:val="21"/>
          <w:szCs w:val="21"/>
          <w:lang w:val="en-US" w:eastAsia="zh-CN" w:bidi="ar-SA"/>
        </w:rPr>
      </w:pPr>
      <w:bookmarkStart w:id="57" w:name="_Toc28081"/>
      <w:bookmarkStart w:id="58" w:name="_Toc27847"/>
      <w:r>
        <w:rPr>
          <w:rFonts w:hint="eastAsia" w:ascii="Times New Roman" w:hAnsi="Times New Roman" w:eastAsia="宋体" w:cs="Times New Roman"/>
          <w:b/>
          <w:bCs/>
          <w:kern w:val="2"/>
          <w:sz w:val="21"/>
          <w:szCs w:val="21"/>
          <w:lang w:val="en-US" w:eastAsia="zh-CN" w:bidi="ar-SA"/>
        </w:rPr>
        <w:t>模型假设：</w:t>
      </w:r>
      <w:bookmarkEnd w:id="57"/>
      <w:bookmarkEnd w:id="58"/>
    </w:p>
    <w:p w14:paraId="11FE1FD4">
      <w:pPr>
        <w:numPr>
          <w:ilvl w:val="0"/>
          <w:numId w:val="3"/>
        </w:numPr>
        <w:tabs>
          <w:tab w:val="left" w:pos="425"/>
          <w:tab w:val="clear" w:pos="845"/>
        </w:tabs>
        <w:spacing w:before="156" w:beforeLines="50" w:after="156" w:afterLines="50"/>
        <w:ind w:left="845" w:leftChars="0" w:hanging="425" w:firstLineChars="0"/>
        <w:outlineLvl w:val="9"/>
        <w:rPr>
          <w:rFonts w:hint="eastAsia" w:ascii="Times New Roman" w:hAnsi="Times New Roman" w:eastAsia="宋体" w:cs="Times New Roman"/>
          <w:kern w:val="2"/>
          <w:sz w:val="21"/>
          <w:szCs w:val="21"/>
          <w:lang w:val="en-US" w:eastAsia="zh-CN" w:bidi="ar-SA"/>
        </w:rPr>
      </w:pPr>
      <w:bookmarkStart w:id="59" w:name="_Toc17397"/>
      <w:bookmarkStart w:id="60" w:name="_Toc12477"/>
      <w:r>
        <w:rPr>
          <w:rFonts w:hint="eastAsia" w:ascii="Times New Roman" w:hAnsi="Times New Roman" w:eastAsia="宋体" w:cs="Times New Roman"/>
          <w:kern w:val="2"/>
          <w:sz w:val="21"/>
          <w:szCs w:val="21"/>
          <w:lang w:val="en-US" w:eastAsia="zh-CN" w:bidi="ar-SA"/>
        </w:rPr>
        <w:t>药品包装标准化，即所有药品的包装尺寸和重量相同。</w:t>
      </w:r>
      <w:bookmarkEnd w:id="59"/>
      <w:bookmarkEnd w:id="60"/>
    </w:p>
    <w:p w14:paraId="21D8D0AF">
      <w:pPr>
        <w:numPr>
          <w:ilvl w:val="0"/>
          <w:numId w:val="3"/>
        </w:numPr>
        <w:tabs>
          <w:tab w:val="left" w:pos="425"/>
          <w:tab w:val="clear" w:pos="845"/>
        </w:tabs>
        <w:spacing w:before="156" w:beforeLines="50" w:after="156" w:afterLines="50"/>
        <w:ind w:left="845" w:leftChars="0" w:hanging="425" w:firstLineChars="0"/>
        <w:outlineLvl w:val="9"/>
        <w:rPr>
          <w:rFonts w:hint="eastAsia" w:ascii="Times New Roman" w:hAnsi="Times New Roman" w:eastAsia="宋体" w:cs="Times New Roman"/>
          <w:kern w:val="2"/>
          <w:sz w:val="21"/>
          <w:szCs w:val="21"/>
          <w:lang w:val="en-US" w:eastAsia="zh-CN" w:bidi="ar-SA"/>
        </w:rPr>
      </w:pPr>
      <w:bookmarkStart w:id="61" w:name="_Toc6165"/>
      <w:bookmarkStart w:id="62" w:name="_Toc20306"/>
      <w:r>
        <w:rPr>
          <w:rFonts w:hint="eastAsia" w:ascii="Times New Roman" w:hAnsi="Times New Roman" w:eastAsia="宋体" w:cs="Times New Roman"/>
          <w:kern w:val="2"/>
          <w:sz w:val="21"/>
          <w:szCs w:val="21"/>
          <w:lang w:val="en-US" w:eastAsia="zh-CN" w:bidi="ar-SA"/>
        </w:rPr>
        <w:t>车辆种类单一化，即仅使用货拉拉中型货车作为运输工具。</w:t>
      </w:r>
      <w:bookmarkEnd w:id="61"/>
      <w:bookmarkEnd w:id="62"/>
    </w:p>
    <w:p w14:paraId="5793F472">
      <w:pPr>
        <w:numPr>
          <w:ilvl w:val="0"/>
          <w:numId w:val="3"/>
        </w:numPr>
        <w:tabs>
          <w:tab w:val="left" w:pos="425"/>
          <w:tab w:val="clear" w:pos="845"/>
        </w:tabs>
        <w:spacing w:before="156" w:beforeLines="50" w:after="156" w:afterLines="50"/>
        <w:ind w:left="845" w:leftChars="0" w:hanging="425" w:firstLineChars="0"/>
        <w:outlineLvl w:val="9"/>
        <w:rPr>
          <w:rFonts w:hint="eastAsia" w:ascii="Times New Roman" w:hAnsi="Times New Roman" w:eastAsia="宋体" w:cs="Times New Roman"/>
          <w:kern w:val="2"/>
          <w:sz w:val="21"/>
          <w:szCs w:val="21"/>
          <w:lang w:val="en-US" w:eastAsia="zh-CN" w:bidi="ar-SA"/>
        </w:rPr>
      </w:pPr>
      <w:bookmarkStart w:id="63" w:name="_Toc9946"/>
      <w:bookmarkStart w:id="64" w:name="_Toc10664"/>
      <w:r>
        <w:rPr>
          <w:rFonts w:hint="eastAsia" w:ascii="Times New Roman" w:hAnsi="Times New Roman" w:eastAsia="宋体" w:cs="Times New Roman"/>
          <w:kern w:val="2"/>
          <w:sz w:val="21"/>
          <w:szCs w:val="21"/>
          <w:lang w:val="en-US" w:eastAsia="zh-CN" w:bidi="ar-SA"/>
        </w:rPr>
        <w:t>配送过程中不存在药品损耗和延误。</w:t>
      </w:r>
      <w:bookmarkEnd w:id="63"/>
      <w:bookmarkEnd w:id="64"/>
    </w:p>
    <w:p w14:paraId="23B27DD9">
      <w:pPr>
        <w:spacing w:before="156" w:beforeLines="50" w:after="156" w:afterLines="50"/>
        <w:outlineLvl w:val="1"/>
        <w:rPr>
          <w:rFonts w:hint="eastAsia" w:ascii="Times New Roman" w:hAnsi="Times New Roman" w:eastAsia="黑体" w:cs="Times New Roman"/>
          <w:b/>
          <w:bCs/>
          <w:sz w:val="28"/>
          <w:szCs w:val="28"/>
          <w:lang w:val="en-US" w:eastAsia="zh-CN"/>
        </w:rPr>
      </w:pPr>
      <w:bookmarkStart w:id="65" w:name="_Toc29207"/>
      <w:bookmarkStart w:id="66" w:name="_Toc1817"/>
      <w:bookmarkStart w:id="67" w:name="_Toc14922"/>
      <w:r>
        <w:rPr>
          <w:rFonts w:hint="eastAsia" w:ascii="Times New Roman" w:hAnsi="Times New Roman" w:eastAsia="黑体" w:cs="Times New Roman"/>
          <w:b/>
          <w:bCs/>
          <w:sz w:val="28"/>
          <w:szCs w:val="28"/>
          <w:lang w:val="en-US" w:eastAsia="zh-CN"/>
        </w:rPr>
        <w:t>3.2 模拟需求量</w:t>
      </w:r>
      <w:bookmarkEnd w:id="65"/>
      <w:bookmarkEnd w:id="66"/>
      <w:bookmarkEnd w:id="67"/>
    </w:p>
    <w:p w14:paraId="288762B2">
      <w:pPr>
        <w:widowControl w:val="0"/>
        <w:numPr>
          <w:ilvl w:val="0"/>
          <w:numId w:val="0"/>
        </w:numPr>
        <w:spacing w:before="156" w:beforeLines="50" w:after="156" w:afterLines="50"/>
        <w:ind w:firstLine="420" w:firstLineChars="0"/>
        <w:jc w:val="both"/>
        <w:outlineLvl w:val="9"/>
        <w:rPr>
          <w:rFonts w:hint="default" w:ascii="Times New Roman" w:hAnsi="Times New Roman" w:eastAsia="宋体"/>
          <w:b w:val="0"/>
          <w:bCs w:val="0"/>
          <w:kern w:val="2"/>
          <w:sz w:val="21"/>
          <w:szCs w:val="21"/>
          <w:lang w:val="en-US" w:eastAsia="zh-CN"/>
        </w:rPr>
      </w:pPr>
      <w:r>
        <w:rPr>
          <w:rFonts w:hint="default" w:ascii="Times New Roman" w:hAnsi="Times New Roman" w:eastAsia="宋体"/>
          <w:b w:val="0"/>
          <w:bCs w:val="0"/>
          <w:kern w:val="2"/>
          <w:sz w:val="21"/>
          <w:szCs w:val="21"/>
          <w:lang w:val="en-US" w:eastAsia="zh-CN"/>
        </w:rPr>
        <w:t>在医保集采药品配送路径优化研究中，准确估算药品需求量至关重要。模拟需求量的必要性体现在三个方面：首先，药品需求并非恒定不变，而是随着人口分布、季节变化等因素呈现出明显的波动性，通过模拟需求量，可以更真实地反映不同区域和时间段的药品需求差异。其次，准确的需求量估算能够为配送路径优化提供关键数据支持，通过了解各区域的需求量，可以更合理地分配配送资源，降低物流成本，提高配送效率。最后，药品需求受到多种不确定因素的影响，如突发公共卫生事件、疾病流行等，通过构建模拟函数，可以更好地应对这些不确定性，提高配送方案的鲁棒性。</w:t>
      </w:r>
      <w:bookmarkStart w:id="68" w:name="_Toc10949"/>
      <w:bookmarkStart w:id="69" w:name="_Toc28616"/>
      <w:r>
        <w:rPr>
          <w:rFonts w:hint="default" w:ascii="Times New Roman" w:hAnsi="Times New Roman" w:eastAsia="宋体"/>
          <w:b w:val="0"/>
          <w:bCs w:val="0"/>
          <w:kern w:val="2"/>
          <w:sz w:val="21"/>
          <w:szCs w:val="21"/>
          <w:lang w:val="en-US" w:eastAsia="zh-CN"/>
        </w:rPr>
        <w:t>因此，本研究采用自定义线性函数来模拟特定区域和季节条件下的药品需求量。该函数整合了人口和季节变量对药品需求的影响，旨在更贴近实际情况，为后续的路径优化提供更可靠的数据基础。具体实现步骤如下：</w:t>
      </w:r>
      <w:bookmarkEnd w:id="68"/>
      <w:bookmarkEnd w:id="69"/>
    </w:p>
    <w:p w14:paraId="1F276992">
      <w:pPr>
        <w:spacing w:before="156" w:beforeLines="50" w:after="156" w:afterLines="50"/>
        <w:outlineLvl w:val="2"/>
        <w:rPr>
          <w:rFonts w:hint="default" w:ascii="Times New Roman" w:hAnsi="Times New Roman" w:eastAsia="宋体"/>
          <w:b w:val="0"/>
          <w:bCs w:val="0"/>
          <w:kern w:val="2"/>
          <w:sz w:val="21"/>
          <w:szCs w:val="21"/>
          <w:lang w:val="en-US" w:eastAsia="zh-CN"/>
        </w:rPr>
      </w:pPr>
      <w:bookmarkStart w:id="70" w:name="_Toc23261"/>
      <w:bookmarkStart w:id="71" w:name="_Toc2876"/>
      <w:r>
        <w:rPr>
          <w:rFonts w:hint="eastAsia" w:ascii="Times New Roman" w:hAnsi="Times New Roman" w:eastAsia="黑体" w:cs="Times New Roman"/>
          <w:b/>
          <w:bCs/>
          <w:sz w:val="24"/>
          <w:lang w:val="en-US" w:eastAsia="zh-CN"/>
        </w:rPr>
        <w:t>3.2.1 参数设定</w:t>
      </w:r>
      <w:bookmarkEnd w:id="70"/>
      <w:bookmarkEnd w:id="71"/>
    </w:p>
    <w:p w14:paraId="72F8CB17">
      <w:pPr>
        <w:widowControl w:val="0"/>
        <w:numPr>
          <w:ilvl w:val="0"/>
          <w:numId w:val="0"/>
        </w:numPr>
        <w:spacing w:before="156" w:beforeLines="50" w:after="156" w:afterLines="50"/>
        <w:ind w:firstLine="420" w:firstLineChars="0"/>
        <w:jc w:val="both"/>
        <w:outlineLvl w:val="9"/>
        <w:rPr>
          <w:rFonts w:hint="default" w:ascii="Times New Roman" w:hAnsi="Times New Roman" w:eastAsia="宋体"/>
          <w:b w:val="0"/>
          <w:bCs w:val="0"/>
          <w:kern w:val="2"/>
          <w:sz w:val="21"/>
          <w:szCs w:val="21"/>
          <w:lang w:val="en-US" w:eastAsia="zh-CN"/>
        </w:rPr>
      </w:pPr>
      <w:bookmarkStart w:id="72" w:name="_Toc8104"/>
      <w:bookmarkStart w:id="73" w:name="_Toc19435"/>
      <w:r>
        <w:rPr>
          <w:rFonts w:hint="default" w:ascii="Times New Roman" w:hAnsi="Times New Roman" w:eastAsia="宋体"/>
          <w:b/>
          <w:bCs/>
          <w:kern w:val="2"/>
          <w:sz w:val="21"/>
          <w:szCs w:val="21"/>
          <w:lang w:val="en-US" w:eastAsia="zh-CN"/>
        </w:rPr>
        <w:t>基础需求量：</w:t>
      </w:r>
      <w:r>
        <w:rPr>
          <w:rFonts w:hint="default" w:ascii="Times New Roman" w:hAnsi="Times New Roman" w:eastAsia="宋体"/>
          <w:b w:val="0"/>
          <w:bCs w:val="0"/>
          <w:kern w:val="2"/>
          <w:sz w:val="21"/>
          <w:szCs w:val="21"/>
          <w:lang w:val="en-US" w:eastAsia="zh-CN"/>
        </w:rPr>
        <w:t>设定为1000单位，代表无其他因素影响时的基本需求。</w:t>
      </w:r>
      <w:bookmarkEnd w:id="72"/>
      <w:bookmarkEnd w:id="73"/>
    </w:p>
    <w:p w14:paraId="0CA53E50">
      <w:pPr>
        <w:widowControl w:val="0"/>
        <w:numPr>
          <w:ilvl w:val="0"/>
          <w:numId w:val="0"/>
        </w:numPr>
        <w:spacing w:before="156" w:beforeLines="50" w:after="156" w:afterLines="50"/>
        <w:ind w:firstLine="420" w:firstLineChars="0"/>
        <w:jc w:val="both"/>
        <w:outlineLvl w:val="9"/>
        <w:rPr>
          <w:rFonts w:hint="default" w:ascii="Times New Roman" w:hAnsi="Times New Roman" w:eastAsia="宋体"/>
          <w:b w:val="0"/>
          <w:bCs w:val="0"/>
          <w:kern w:val="2"/>
          <w:sz w:val="21"/>
          <w:szCs w:val="21"/>
          <w:lang w:val="en-US" w:eastAsia="zh-CN"/>
        </w:rPr>
      </w:pPr>
      <w:bookmarkStart w:id="74" w:name="_Toc32691"/>
      <w:bookmarkStart w:id="75" w:name="_Toc8943"/>
      <w:r>
        <w:rPr>
          <w:rFonts w:hint="default" w:ascii="Times New Roman" w:hAnsi="Times New Roman" w:eastAsia="宋体"/>
          <w:b/>
          <w:bCs/>
          <w:kern w:val="2"/>
          <w:sz w:val="21"/>
          <w:szCs w:val="21"/>
          <w:lang w:val="en-US" w:eastAsia="zh-CN"/>
        </w:rPr>
        <w:t>区域：</w:t>
      </w:r>
      <w:r>
        <w:rPr>
          <w:rFonts w:hint="default" w:ascii="Times New Roman" w:hAnsi="Times New Roman" w:eastAsia="宋体"/>
          <w:b w:val="0"/>
          <w:bCs w:val="0"/>
          <w:kern w:val="2"/>
          <w:sz w:val="21"/>
          <w:szCs w:val="21"/>
          <w:lang w:val="en-US" w:eastAsia="zh-CN"/>
        </w:rPr>
        <w:t>通过深圳市各区人口系数确定，代表需求计算的特定地理区域。</w:t>
      </w:r>
      <w:bookmarkEnd w:id="74"/>
      <w:bookmarkEnd w:id="75"/>
    </w:p>
    <w:p w14:paraId="4CE12B1D">
      <w:pPr>
        <w:widowControl w:val="0"/>
        <w:numPr>
          <w:ilvl w:val="0"/>
          <w:numId w:val="0"/>
        </w:numPr>
        <w:spacing w:before="156" w:beforeLines="50" w:after="156" w:afterLines="50"/>
        <w:ind w:firstLine="420" w:firstLineChars="0"/>
        <w:jc w:val="both"/>
        <w:outlineLvl w:val="9"/>
        <w:rPr>
          <w:rFonts w:hint="eastAsia" w:ascii="Times New Roman" w:hAnsi="Times New Roman" w:eastAsia="宋体"/>
          <w:b w:val="0"/>
          <w:bCs w:val="0"/>
          <w:kern w:val="2"/>
          <w:sz w:val="21"/>
          <w:szCs w:val="21"/>
          <w:lang w:val="en-US" w:eastAsia="zh-CN"/>
        </w:rPr>
      </w:pPr>
      <w:bookmarkStart w:id="76" w:name="_Toc21703"/>
      <w:bookmarkStart w:id="77" w:name="_Toc18499"/>
      <w:r>
        <w:rPr>
          <w:rFonts w:hint="default" w:ascii="Times New Roman" w:hAnsi="Times New Roman" w:eastAsia="宋体"/>
          <w:b/>
          <w:bCs/>
          <w:kern w:val="2"/>
          <w:sz w:val="21"/>
          <w:szCs w:val="21"/>
          <w:lang w:val="en-US" w:eastAsia="zh-CN"/>
        </w:rPr>
        <w:t>时间：</w:t>
      </w:r>
      <w:r>
        <w:rPr>
          <w:rFonts w:hint="default" w:ascii="Times New Roman" w:hAnsi="Times New Roman" w:eastAsia="宋体"/>
          <w:b w:val="0"/>
          <w:bCs w:val="0"/>
          <w:kern w:val="2"/>
          <w:sz w:val="21"/>
          <w:szCs w:val="21"/>
          <w:lang w:val="en-US" w:eastAsia="zh-CN"/>
        </w:rPr>
        <w:t>考虑季节因素，换季影响导致患病风险上升。</w:t>
      </w:r>
      <w:bookmarkEnd w:id="76"/>
      <w:bookmarkEnd w:id="77"/>
    </w:p>
    <w:p w14:paraId="0C3EF07E">
      <w:pPr>
        <w:spacing w:before="156" w:beforeLines="50" w:after="156" w:afterLines="50"/>
        <w:outlineLvl w:val="2"/>
        <w:rPr>
          <w:rFonts w:hint="eastAsia" w:ascii="Times New Roman" w:hAnsi="Times New Roman" w:eastAsia="黑体" w:cs="Times New Roman"/>
          <w:b/>
          <w:bCs/>
          <w:sz w:val="24"/>
          <w:lang w:val="en-US" w:eastAsia="zh-CN"/>
        </w:rPr>
      </w:pPr>
      <w:bookmarkStart w:id="78" w:name="_Toc19985"/>
      <w:bookmarkStart w:id="79" w:name="_Toc14916"/>
      <w:r>
        <w:rPr>
          <w:rFonts w:hint="eastAsia" w:ascii="Times New Roman" w:hAnsi="Times New Roman" w:eastAsia="黑体" w:cs="Times New Roman"/>
          <w:b/>
          <w:bCs/>
          <w:sz w:val="24"/>
          <w:lang w:val="en-US" w:eastAsia="zh-CN"/>
        </w:rPr>
        <w:t>3.2.2 需求量计算</w:t>
      </w:r>
      <w:bookmarkEnd w:id="78"/>
      <w:bookmarkEnd w:id="79"/>
    </w:p>
    <w:p w14:paraId="3B3ED929">
      <w:pPr>
        <w:pStyle w:val="4"/>
        <w:spacing w:line="300" w:lineRule="auto"/>
        <w:ind w:firstLine="0" w:firstLineChars="0"/>
        <w:jc w:val="center"/>
        <w:rPr>
          <w:rFonts w:hint="eastAsia"/>
          <w:szCs w:val="21"/>
        </w:rPr>
      </w:pPr>
      <w:bookmarkStart w:id="80" w:name="_Toc2277"/>
      <w:bookmarkStart w:id="81" w:name="_Toc19822"/>
      <w:r>
        <w:rPr>
          <w:position w:val="-12"/>
          <w:sz w:val="24"/>
        </w:rPr>
        <w:object>
          <v:shape id="_x0000_i1026" o:spt="75" type="#_x0000_t75" style="height:18pt;width:108pt;" o:ole="t" filled="f" o:preferrelative="t" stroked="f" coordsize="21600,21600">
            <v:path/>
            <v:fill on="f" focussize="0,0"/>
            <v:stroke on="f"/>
            <v:imagedata r:id="rId11" o:title=""/>
            <o:lock v:ext="edit" aspectratio="t"/>
            <w10:wrap type="none"/>
            <w10:anchorlock/>
          </v:shape>
          <o:OLEObject Type="Embed" ProgID="Equation.3" ShapeID="_x0000_i1026" DrawAspect="Content" ObjectID="_1468075726" r:id="rId10">
            <o:LockedField>false</o:LockedField>
          </o:OLEObject>
        </w:object>
      </w:r>
    </w:p>
    <w:p w14:paraId="6B30F36B">
      <w:pPr>
        <w:widowControl w:val="0"/>
        <w:numPr>
          <w:ilvl w:val="0"/>
          <w:numId w:val="0"/>
        </w:numPr>
        <w:spacing w:before="156" w:beforeLines="50" w:after="156" w:afterLines="50"/>
        <w:ind w:firstLine="420" w:firstLineChars="0"/>
        <w:jc w:val="both"/>
        <w:outlineLvl w:val="9"/>
        <w:rPr>
          <w:rFonts w:hint="eastAsia"/>
          <w:b w:val="0"/>
          <w:bCs w:val="0"/>
          <w:kern w:val="2"/>
          <w:sz w:val="21"/>
          <w:szCs w:val="21"/>
          <w:lang w:val="en-US" w:eastAsia="zh-CN"/>
        </w:rPr>
      </w:pPr>
      <w:r>
        <w:rPr>
          <w:rFonts w:hint="eastAsia" w:ascii="Times New Roman" w:hAnsi="Times New Roman" w:eastAsia="宋体"/>
          <w:b w:val="0"/>
          <w:bCs w:val="0"/>
          <w:kern w:val="2"/>
          <w:sz w:val="21"/>
          <w:szCs w:val="21"/>
          <w:lang w:val="en-US" w:eastAsia="zh-CN"/>
        </w:rPr>
        <w:t>其中</w:t>
      </w:r>
      <w:r>
        <w:rPr>
          <w:rFonts w:hint="eastAsia"/>
          <w:b w:val="0"/>
          <w:bCs w:val="0"/>
          <w:kern w:val="2"/>
          <w:sz w:val="21"/>
          <w:szCs w:val="21"/>
          <w:lang w:val="en-US" w:eastAsia="zh-CN"/>
        </w:rPr>
        <w:t>：</w:t>
      </w:r>
      <w:bookmarkEnd w:id="80"/>
      <w:bookmarkEnd w:id="81"/>
    </w:p>
    <w:p w14:paraId="50EF854A">
      <w:pPr>
        <w:widowControl w:val="0"/>
        <w:numPr>
          <w:ilvl w:val="0"/>
          <w:numId w:val="0"/>
        </w:numPr>
        <w:spacing w:before="156" w:beforeLines="50" w:after="156" w:afterLines="50"/>
        <w:ind w:left="420" w:leftChars="0" w:firstLine="420" w:firstLineChars="0"/>
        <w:jc w:val="both"/>
        <w:outlineLvl w:val="9"/>
        <w:rPr>
          <w:rFonts w:hint="eastAsia" w:ascii="Times New Roman" w:hAnsi="Times New Roman" w:eastAsia="宋体"/>
          <w:b w:val="0"/>
          <w:bCs w:val="0"/>
          <w:kern w:val="2"/>
          <w:sz w:val="21"/>
          <w:szCs w:val="21"/>
          <w:lang w:val="en-US" w:eastAsia="zh-CN"/>
        </w:rPr>
      </w:pPr>
      <m:oMath>
        <m:sSub>
          <w:bookmarkStart w:id="82" w:name="_Toc5769"/>
          <w:bookmarkStart w:id="83" w:name="_Toc23362"/>
          <m:sSubPr>
            <m:ctrlPr>
              <w:rPr>
                <w:rFonts w:hint="default" w:ascii="Cambria Math" w:hAnsi="Cambria Math" w:eastAsia="宋体"/>
                <w:b w:val="0"/>
                <w:bCs w:val="0"/>
                <w:kern w:val="2"/>
                <w:sz w:val="21"/>
                <w:szCs w:val="21"/>
                <w:lang w:val="en-US" w:eastAsia="zh-CN"/>
              </w:rPr>
            </m:ctrlPr>
          </m:sSubPr>
          <m:e>
            <m:r>
              <m:rPr>
                <m:sty m:val="p"/>
              </m:rPr>
              <w:rPr>
                <w:rFonts w:hint="default" w:ascii="Cambria Math" w:hAnsi="Cambria Math" w:eastAsia="宋体"/>
                <w:kern w:val="2"/>
                <w:sz w:val="21"/>
                <w:szCs w:val="21"/>
                <w:lang w:val="en-US" w:eastAsia="zh-CN"/>
              </w:rPr>
              <m:t>D</m:t>
            </m:r>
            <m:ctrlPr>
              <w:rPr>
                <w:rFonts w:hint="default" w:ascii="Cambria Math" w:hAnsi="Cambria Math" w:eastAsia="宋体"/>
                <w:b w:val="0"/>
                <w:bCs w:val="0"/>
                <w:kern w:val="2"/>
                <w:sz w:val="21"/>
                <w:szCs w:val="21"/>
                <w:lang w:val="en-US" w:eastAsia="zh-CN"/>
              </w:rPr>
            </m:ctrlPr>
          </m:e>
          <m:sub>
            <m:r>
              <m:rPr>
                <m:sty m:val="p"/>
              </m:rPr>
              <w:rPr>
                <w:rFonts w:hint="default" w:ascii="Cambria Math" w:hAnsi="Cambria Math" w:eastAsia="宋体"/>
                <w:kern w:val="2"/>
                <w:sz w:val="21"/>
                <w:szCs w:val="21"/>
                <w:lang w:val="en-US" w:eastAsia="zh-CN"/>
              </w:rPr>
              <m:t>i</m:t>
            </m:r>
            <m:ctrlPr>
              <w:rPr>
                <w:rFonts w:hint="default" w:ascii="Cambria Math" w:hAnsi="Cambria Math" w:eastAsia="宋体"/>
                <w:b w:val="0"/>
                <w:bCs w:val="0"/>
                <w:kern w:val="2"/>
                <w:sz w:val="21"/>
                <w:szCs w:val="21"/>
                <w:lang w:val="en-US" w:eastAsia="zh-CN"/>
              </w:rPr>
            </m:ctrlPr>
          </m:sub>
        </m:sSub>
      </m:oMath>
      <w:r>
        <w:rPr>
          <w:rFonts w:hint="eastAsia" w:ascii="Times New Roman" w:hAnsi="Times New Roman" w:eastAsia="宋体"/>
          <w:b w:val="0"/>
          <w:bCs w:val="0"/>
          <w:kern w:val="2"/>
          <w:sz w:val="21"/>
          <w:szCs w:val="21"/>
          <w:lang w:val="en-US" w:eastAsia="zh-CN"/>
        </w:rPr>
        <w:t>：区域i的药品需求量</w:t>
      </w:r>
      <w:bookmarkEnd w:id="82"/>
      <w:bookmarkEnd w:id="83"/>
    </w:p>
    <w:p w14:paraId="0AFDA0A0">
      <w:pPr>
        <w:widowControl w:val="0"/>
        <w:numPr>
          <w:ilvl w:val="0"/>
          <w:numId w:val="0"/>
        </w:numPr>
        <w:spacing w:before="156" w:beforeLines="50" w:after="156" w:afterLines="50"/>
        <w:ind w:left="420" w:leftChars="0" w:firstLine="420" w:firstLineChars="0"/>
        <w:jc w:val="both"/>
        <w:outlineLvl w:val="9"/>
        <w:rPr>
          <w:rFonts w:hint="eastAsia" w:ascii="Times New Roman" w:hAnsi="Times New Roman" w:eastAsia="宋体"/>
          <w:b w:val="0"/>
          <w:bCs w:val="0"/>
          <w:kern w:val="2"/>
          <w:sz w:val="21"/>
          <w:szCs w:val="21"/>
          <w:lang w:val="en-US" w:eastAsia="zh-CN"/>
        </w:rPr>
      </w:pPr>
      <w:bookmarkStart w:id="84" w:name="_Toc27397"/>
      <w:bookmarkStart w:id="85" w:name="_Toc4560"/>
      <m:oMath>
        <m:sSub>
          <m:sSubPr>
            <m:ctrlPr>
              <w:rPr>
                <w:rFonts w:hint="default" w:ascii="Cambria Math" w:hAnsi="Cambria Math" w:eastAsia="宋体"/>
                <w:b w:val="0"/>
                <w:bCs w:val="0"/>
                <w:kern w:val="2"/>
                <w:sz w:val="21"/>
                <w:szCs w:val="21"/>
                <w:lang w:val="en-US" w:eastAsia="zh-CN"/>
              </w:rPr>
            </m:ctrlPr>
          </m:sSubPr>
          <m:e>
            <m:r>
              <m:rPr>
                <m:sty m:val="p"/>
              </m:rPr>
              <w:rPr>
                <w:rFonts w:hint="default" w:ascii="Cambria Math" w:hAnsi="Cambria Math" w:eastAsia="宋体"/>
                <w:kern w:val="2"/>
                <w:sz w:val="21"/>
                <w:szCs w:val="21"/>
                <w:lang w:val="en-US" w:eastAsia="zh-CN"/>
              </w:rPr>
              <m:t>D</m:t>
            </m:r>
            <m:ctrlPr>
              <w:rPr>
                <w:rFonts w:hint="default" w:ascii="Cambria Math" w:hAnsi="Cambria Math" w:eastAsia="宋体"/>
                <w:b w:val="0"/>
                <w:bCs w:val="0"/>
                <w:kern w:val="2"/>
                <w:sz w:val="21"/>
                <w:szCs w:val="21"/>
                <w:lang w:val="en-US" w:eastAsia="zh-CN"/>
              </w:rPr>
            </m:ctrlPr>
          </m:e>
          <m:sub>
            <m:r>
              <m:rPr>
                <m:sty m:val="p"/>
              </m:rPr>
              <w:rPr>
                <w:rFonts w:hint="default" w:ascii="Cambria Math" w:hAnsi="Cambria Math" w:eastAsia="宋体"/>
                <w:kern w:val="2"/>
                <w:sz w:val="21"/>
                <w:szCs w:val="21"/>
                <w:lang w:val="en-US" w:eastAsia="zh-CN"/>
              </w:rPr>
              <m:t>base</m:t>
            </m:r>
            <m:ctrlPr>
              <w:rPr>
                <w:rFonts w:hint="default" w:ascii="Cambria Math" w:hAnsi="Cambria Math" w:eastAsia="宋体"/>
                <w:b w:val="0"/>
                <w:bCs w:val="0"/>
                <w:kern w:val="2"/>
                <w:sz w:val="21"/>
                <w:szCs w:val="21"/>
                <w:lang w:val="en-US" w:eastAsia="zh-CN"/>
              </w:rPr>
            </m:ctrlPr>
          </m:sub>
        </m:sSub>
      </m:oMath>
      <w:r>
        <w:rPr>
          <w:rFonts w:hint="eastAsia" w:ascii="Times New Roman" w:hAnsi="Times New Roman" w:eastAsia="宋体"/>
          <w:b w:val="0"/>
          <w:bCs w:val="0"/>
          <w:kern w:val="2"/>
          <w:sz w:val="21"/>
          <w:szCs w:val="21"/>
          <w:lang w:val="en-US" w:eastAsia="zh-CN"/>
        </w:rPr>
        <w:t>：基础需求量</w:t>
      </w:r>
      <w:bookmarkEnd w:id="84"/>
      <w:bookmarkEnd w:id="85"/>
    </w:p>
    <w:p w14:paraId="38DD05DB">
      <w:pPr>
        <w:widowControl w:val="0"/>
        <w:numPr>
          <w:ilvl w:val="0"/>
          <w:numId w:val="0"/>
        </w:numPr>
        <w:spacing w:before="156" w:beforeLines="50" w:after="156" w:afterLines="50"/>
        <w:ind w:left="420" w:leftChars="0" w:firstLine="420" w:firstLineChars="0"/>
        <w:jc w:val="both"/>
        <w:outlineLvl w:val="9"/>
        <w:rPr>
          <w:rFonts w:hint="eastAsia" w:ascii="Times New Roman" w:hAnsi="Times New Roman" w:eastAsia="宋体"/>
          <w:b w:val="0"/>
          <w:bCs w:val="0"/>
          <w:kern w:val="2"/>
          <w:sz w:val="21"/>
          <w:szCs w:val="21"/>
          <w:lang w:val="en-US" w:eastAsia="zh-CN"/>
        </w:rPr>
      </w:pPr>
      <m:oMath>
        <m:sSub>
          <w:bookmarkStart w:id="86" w:name="_Toc15076"/>
          <w:bookmarkStart w:id="87" w:name="_Toc21277"/>
          <m:sSubPr>
            <m:ctrlPr>
              <w:rPr>
                <w:rFonts w:hint="default" w:ascii="Cambria Math" w:hAnsi="Cambria Math" w:eastAsia="宋体"/>
                <w:b w:val="0"/>
                <w:bCs w:val="0"/>
                <w:kern w:val="2"/>
                <w:sz w:val="21"/>
                <w:szCs w:val="21"/>
                <w:lang w:val="en-US" w:eastAsia="zh-CN"/>
              </w:rPr>
            </m:ctrlPr>
          </m:sSubPr>
          <m:e>
            <m:r>
              <m:rPr>
                <m:sty m:val="p"/>
              </m:rPr>
              <w:rPr>
                <w:rFonts w:hint="default" w:ascii="Cambria Math" w:hAnsi="Cambria Math" w:eastAsia="宋体"/>
                <w:kern w:val="2"/>
                <w:sz w:val="21"/>
                <w:szCs w:val="21"/>
                <w:lang w:val="en-US" w:eastAsia="zh-CN"/>
              </w:rPr>
              <m:t>α</m:t>
            </m:r>
            <m:ctrlPr>
              <w:rPr>
                <w:rFonts w:hint="default" w:ascii="Cambria Math" w:hAnsi="Cambria Math" w:eastAsia="宋体"/>
                <w:b w:val="0"/>
                <w:bCs w:val="0"/>
                <w:kern w:val="2"/>
                <w:sz w:val="21"/>
                <w:szCs w:val="21"/>
                <w:lang w:val="en-US" w:eastAsia="zh-CN"/>
              </w:rPr>
            </m:ctrlPr>
          </m:e>
          <m:sub>
            <m:r>
              <m:rPr>
                <m:sty m:val="p"/>
              </m:rPr>
              <w:rPr>
                <w:rFonts w:hint="default" w:ascii="Cambria Math" w:hAnsi="Cambria Math" w:eastAsia="宋体"/>
                <w:kern w:val="2"/>
                <w:sz w:val="21"/>
                <w:szCs w:val="21"/>
                <w:lang w:val="en-US" w:eastAsia="zh-CN"/>
              </w:rPr>
              <m:t>i</m:t>
            </m:r>
            <m:ctrlPr>
              <w:rPr>
                <w:rFonts w:hint="default" w:ascii="Cambria Math" w:hAnsi="Cambria Math" w:eastAsia="宋体"/>
                <w:b w:val="0"/>
                <w:bCs w:val="0"/>
                <w:kern w:val="2"/>
                <w:sz w:val="21"/>
                <w:szCs w:val="21"/>
                <w:lang w:val="en-US" w:eastAsia="zh-CN"/>
              </w:rPr>
            </m:ctrlPr>
          </m:sub>
        </m:sSub>
      </m:oMath>
      <w:r>
        <w:rPr>
          <w:rFonts w:hint="eastAsia" w:ascii="Times New Roman" w:hAnsi="Times New Roman" w:eastAsia="宋体"/>
          <w:b w:val="0"/>
          <w:bCs w:val="0"/>
          <w:kern w:val="2"/>
          <w:sz w:val="21"/>
          <w:szCs w:val="21"/>
          <w:lang w:val="en-US" w:eastAsia="zh-CN"/>
        </w:rPr>
        <w:t>：区域i的人口系数</w:t>
      </w:r>
      <w:bookmarkEnd w:id="86"/>
      <w:bookmarkEnd w:id="87"/>
    </w:p>
    <w:p w14:paraId="43661232">
      <w:pPr>
        <w:widowControl w:val="0"/>
        <w:numPr>
          <w:ilvl w:val="0"/>
          <w:numId w:val="0"/>
        </w:numPr>
        <w:spacing w:before="156" w:beforeLines="50" w:after="156" w:afterLines="50"/>
        <w:ind w:left="420" w:leftChars="0" w:firstLine="420" w:firstLineChars="0"/>
        <w:jc w:val="both"/>
        <w:outlineLvl w:val="9"/>
        <w:rPr>
          <w:rFonts w:hint="eastAsia" w:ascii="Times New Roman" w:hAnsi="Times New Roman" w:eastAsia="宋体"/>
          <w:b w:val="0"/>
          <w:bCs w:val="0"/>
          <w:kern w:val="2"/>
          <w:sz w:val="21"/>
          <w:szCs w:val="21"/>
          <w:lang w:val="en-US" w:eastAsia="zh-CN"/>
        </w:rPr>
      </w:pPr>
      <m:oMath>
        <m:sSub>
          <w:bookmarkStart w:id="88" w:name="_Toc4320"/>
          <w:bookmarkStart w:id="89" w:name="_Toc21215"/>
          <m:sSubPr>
            <m:ctrlPr>
              <w:rPr>
                <w:rFonts w:hint="default" w:ascii="Cambria Math" w:hAnsi="Cambria Math" w:eastAsia="宋体"/>
                <w:b w:val="0"/>
                <w:bCs w:val="0"/>
                <w:kern w:val="2"/>
                <w:sz w:val="21"/>
                <w:szCs w:val="21"/>
                <w:lang w:val="en-US" w:eastAsia="zh-CN"/>
              </w:rPr>
            </m:ctrlPr>
          </m:sSubPr>
          <m:e>
            <m:r>
              <m:rPr>
                <m:sty m:val="p"/>
              </m:rPr>
              <w:rPr>
                <w:rFonts w:hint="default" w:ascii="Cambria Math" w:hAnsi="Cambria Math" w:eastAsia="宋体"/>
                <w:kern w:val="2"/>
                <w:sz w:val="21"/>
                <w:szCs w:val="21"/>
                <w:lang w:val="en-US" w:eastAsia="zh-CN"/>
              </w:rPr>
              <m:t>β</m:t>
            </m:r>
            <m:ctrlPr>
              <w:rPr>
                <w:rFonts w:hint="default" w:ascii="Cambria Math" w:hAnsi="Cambria Math" w:eastAsia="宋体"/>
                <w:b w:val="0"/>
                <w:bCs w:val="0"/>
                <w:kern w:val="2"/>
                <w:sz w:val="21"/>
                <w:szCs w:val="21"/>
                <w:lang w:val="en-US" w:eastAsia="zh-CN"/>
              </w:rPr>
            </m:ctrlPr>
          </m:e>
          <m:sub>
            <m:r>
              <m:rPr>
                <m:sty m:val="p"/>
              </m:rPr>
              <w:rPr>
                <w:rFonts w:hint="default" w:ascii="Cambria Math" w:hAnsi="Cambria Math" w:eastAsia="宋体"/>
                <w:kern w:val="2"/>
                <w:sz w:val="21"/>
                <w:szCs w:val="21"/>
                <w:lang w:val="en-US" w:eastAsia="zh-CN"/>
              </w:rPr>
              <m:t>t</m:t>
            </m:r>
            <m:ctrlPr>
              <w:rPr>
                <w:rFonts w:hint="default" w:ascii="Cambria Math" w:hAnsi="Cambria Math" w:eastAsia="宋体"/>
                <w:b w:val="0"/>
                <w:bCs w:val="0"/>
                <w:kern w:val="2"/>
                <w:sz w:val="21"/>
                <w:szCs w:val="21"/>
                <w:lang w:val="en-US" w:eastAsia="zh-CN"/>
              </w:rPr>
            </m:ctrlPr>
          </m:sub>
        </m:sSub>
      </m:oMath>
      <w:r>
        <w:rPr>
          <w:rFonts w:hint="eastAsia" w:ascii="Times New Roman" w:hAnsi="Times New Roman" w:eastAsia="宋体"/>
          <w:b w:val="0"/>
          <w:bCs w:val="0"/>
          <w:kern w:val="2"/>
          <w:sz w:val="21"/>
          <w:szCs w:val="21"/>
          <w:lang w:val="en-US" w:eastAsia="zh-CN"/>
        </w:rPr>
        <w:t>：季节t的季节系数</w:t>
      </w:r>
      <w:bookmarkEnd w:id="88"/>
      <w:bookmarkEnd w:id="89"/>
    </w:p>
    <w:p w14:paraId="01E0784D">
      <w:pPr>
        <w:widowControl w:val="0"/>
        <w:numPr>
          <w:ilvl w:val="0"/>
          <w:numId w:val="0"/>
        </w:numPr>
        <w:spacing w:before="156" w:beforeLines="50" w:after="156" w:afterLines="50"/>
        <w:ind w:left="420" w:leftChars="0" w:firstLine="420" w:firstLineChars="0"/>
        <w:jc w:val="both"/>
        <w:outlineLvl w:val="9"/>
        <w:rPr>
          <w:rFonts w:hint="eastAsia" w:ascii="Times New Roman" w:hAnsi="Times New Roman" w:eastAsia="宋体"/>
          <w:b w:val="0"/>
          <w:bCs w:val="0"/>
          <w:kern w:val="2"/>
          <w:sz w:val="21"/>
          <w:szCs w:val="21"/>
          <w:lang w:val="en-US" w:eastAsia="zh-CN"/>
        </w:rPr>
      </w:pPr>
      <m:oMath>
        <w:bookmarkStart w:id="90" w:name="_Toc227"/>
        <w:bookmarkStart w:id="91" w:name="_Toc25975"/>
        <m:r>
          <m:rPr>
            <m:sty m:val="p"/>
          </m:rPr>
          <w:rPr>
            <w:rFonts w:hint="default" w:ascii="Cambria Math" w:hAnsi="Cambria Math" w:eastAsia="宋体"/>
            <w:kern w:val="2"/>
            <w:sz w:val="21"/>
            <w:szCs w:val="21"/>
            <w:lang w:val="en-US" w:eastAsia="zh-CN"/>
          </w:rPr>
          <m:t xml:space="preserve">ϵ </m:t>
        </m:r>
      </m:oMath>
      <w:r>
        <w:rPr>
          <w:rFonts w:hint="eastAsia" w:ascii="Times New Roman" w:hAnsi="Times New Roman" w:eastAsia="宋体"/>
          <w:b w:val="0"/>
          <w:bCs w:val="0"/>
          <w:kern w:val="2"/>
          <w:sz w:val="21"/>
          <w:szCs w:val="21"/>
          <w:lang w:val="en-US" w:eastAsia="zh-CN"/>
        </w:rPr>
        <w:t>：随机波动项，服从N(</w:t>
      </w:r>
      <m:oMath>
        <m:r>
          <m:rPr>
            <m:sty m:val="p"/>
          </m:rPr>
          <w:rPr>
            <w:rFonts w:hint="eastAsia" w:ascii="Cambria Math" w:hAnsi="Cambria Math" w:eastAsia="宋体"/>
            <w:kern w:val="2"/>
            <w:sz w:val="21"/>
            <w:szCs w:val="21"/>
            <w:lang w:val="en-US" w:eastAsia="zh-CN"/>
          </w:rPr>
          <m:t>200</m:t>
        </m:r>
        <m:r>
          <m:rPr>
            <m:sty m:val="p"/>
          </m:rPr>
          <w:rPr>
            <w:rFonts w:hint="default" w:ascii="Cambria Math" w:hAnsi="Cambria Math" w:eastAsia="宋体"/>
            <w:kern w:val="2"/>
            <w:sz w:val="21"/>
            <w:szCs w:val="21"/>
            <w:lang w:val="en-US" w:eastAsia="zh-CN"/>
          </w:rPr>
          <m:t>,</m:t>
        </m:r>
        <m:sSup>
          <m:sSupPr>
            <m:ctrlPr>
              <w:rPr>
                <w:rFonts w:hint="default" w:ascii="Cambria Math" w:hAnsi="Cambria Math" w:eastAsia="宋体"/>
                <w:b w:val="0"/>
                <w:bCs w:val="0"/>
                <w:kern w:val="2"/>
                <w:sz w:val="21"/>
                <w:szCs w:val="21"/>
                <w:lang w:val="en-US" w:eastAsia="zh-CN"/>
              </w:rPr>
            </m:ctrlPr>
          </m:sSupPr>
          <m:e>
            <m:r>
              <m:rPr>
                <m:sty m:val="p"/>
              </m:rPr>
              <w:rPr>
                <w:rFonts w:hint="default" w:ascii="Cambria Math" w:hAnsi="Cambria Math" w:eastAsia="宋体"/>
                <w:kern w:val="2"/>
                <w:sz w:val="21"/>
                <w:szCs w:val="21"/>
                <w:lang w:val="en-US" w:eastAsia="zh-CN"/>
              </w:rPr>
              <m:t>200</m:t>
            </m:r>
            <m:ctrlPr>
              <w:rPr>
                <w:rFonts w:hint="default" w:ascii="Cambria Math" w:hAnsi="Cambria Math" w:eastAsia="宋体"/>
                <w:b w:val="0"/>
                <w:bCs w:val="0"/>
                <w:kern w:val="2"/>
                <w:sz w:val="21"/>
                <w:szCs w:val="21"/>
                <w:lang w:val="en-US" w:eastAsia="zh-CN"/>
              </w:rPr>
            </m:ctrlPr>
          </m:e>
          <m:sup>
            <m:r>
              <m:rPr>
                <m:sty m:val="p"/>
              </m:rPr>
              <w:rPr>
                <w:rFonts w:hint="default" w:ascii="Cambria Math" w:hAnsi="Cambria Math" w:eastAsia="宋体"/>
                <w:kern w:val="2"/>
                <w:sz w:val="21"/>
                <w:szCs w:val="21"/>
                <w:lang w:val="en-US" w:eastAsia="zh-CN"/>
              </w:rPr>
              <m:t>2</m:t>
            </m:r>
            <m:ctrlPr>
              <w:rPr>
                <w:rFonts w:hint="default" w:ascii="Cambria Math" w:hAnsi="Cambria Math" w:eastAsia="宋体"/>
                <w:b w:val="0"/>
                <w:bCs w:val="0"/>
                <w:kern w:val="2"/>
                <w:sz w:val="21"/>
                <w:szCs w:val="21"/>
                <w:lang w:val="en-US" w:eastAsia="zh-CN"/>
              </w:rPr>
            </m:ctrlPr>
          </m:sup>
        </m:sSup>
      </m:oMath>
      <w:r>
        <w:rPr>
          <w:rFonts w:hint="eastAsia" w:ascii="Times New Roman" w:hAnsi="Times New Roman" w:eastAsia="宋体"/>
          <w:b w:val="0"/>
          <w:bCs w:val="0"/>
          <w:kern w:val="2"/>
          <w:sz w:val="21"/>
          <w:szCs w:val="21"/>
          <w:lang w:val="en-US" w:eastAsia="zh-CN"/>
        </w:rPr>
        <w:t>)正态分布</w:t>
      </w:r>
      <w:bookmarkEnd w:id="90"/>
      <w:bookmarkEnd w:id="91"/>
    </w:p>
    <w:p w14:paraId="33C7708B">
      <w:pPr>
        <w:widowControl w:val="0"/>
        <w:numPr>
          <w:ilvl w:val="0"/>
          <w:numId w:val="0"/>
        </w:numPr>
        <w:spacing w:before="156" w:beforeLines="50" w:after="156" w:afterLines="50"/>
        <w:jc w:val="both"/>
        <w:outlineLvl w:val="9"/>
        <w:rPr>
          <w:rFonts w:hint="default" w:ascii="Times New Roman" w:hAnsi="Times New Roman" w:eastAsia="宋体"/>
          <w:b w:val="0"/>
          <w:bCs w:val="0"/>
          <w:kern w:val="2"/>
          <w:sz w:val="21"/>
          <w:szCs w:val="21"/>
          <w:lang w:val="en-US" w:eastAsia="zh-CN"/>
        </w:rPr>
      </w:pPr>
    </w:p>
    <w:p w14:paraId="6F43F801">
      <w:pPr>
        <w:spacing w:before="156" w:beforeLines="50" w:after="156" w:afterLines="50"/>
        <w:outlineLvl w:val="1"/>
        <w:rPr>
          <w:rFonts w:hint="eastAsia" w:ascii="Times New Roman" w:hAnsi="Times New Roman" w:eastAsia="黑体" w:cs="Times New Roman"/>
          <w:b/>
          <w:bCs/>
          <w:sz w:val="28"/>
          <w:szCs w:val="28"/>
          <w:lang w:val="en-US" w:eastAsia="zh-CN"/>
        </w:rPr>
      </w:pPr>
      <w:bookmarkStart w:id="92" w:name="_Toc28663"/>
      <w:r>
        <w:rPr>
          <w:rFonts w:hint="eastAsia" w:ascii="Times New Roman" w:hAnsi="Times New Roman" w:eastAsia="黑体" w:cs="Times New Roman"/>
          <w:b/>
          <w:bCs/>
          <w:sz w:val="28"/>
          <w:szCs w:val="28"/>
          <w:lang w:val="en-US" w:eastAsia="zh-CN"/>
        </w:rPr>
        <w:t>3.3 约束条件公式</w:t>
      </w:r>
      <w:bookmarkEnd w:id="92"/>
    </w:p>
    <w:p w14:paraId="16BAB42E">
      <w:pPr>
        <w:pStyle w:val="12"/>
        <w:keepNext w:val="0"/>
        <w:keepLines w:val="0"/>
        <w:widowControl/>
        <w:suppressLineNumbers w:val="0"/>
        <w:spacing w:before="0" w:beforeAutospacing="0" w:after="0" w:afterAutospacing="0"/>
        <w:ind w:left="0" w:right="0"/>
        <w:rPr>
          <w:rFonts w:hint="default"/>
          <w:lang w:val="en-US" w:eastAsia="zh-CN"/>
        </w:rPr>
      </w:pPr>
      <w:r>
        <w:rPr>
          <w:rFonts w:hint="eastAsia"/>
          <w:lang w:val="en-US" w:eastAsia="zh-CN"/>
        </w:rPr>
        <w:tab/>
      </w:r>
      <w:r>
        <w:rPr>
          <w:rFonts w:hint="eastAsia" w:ascii="Times New Roman" w:hAnsi="Times New Roman" w:eastAsia="宋体" w:cs="Times New Roman"/>
          <w:kern w:val="2"/>
          <w:sz w:val="21"/>
          <w:szCs w:val="21"/>
          <w:lang w:val="en-US" w:eastAsia="zh-CN" w:bidi="ar-SA"/>
        </w:rPr>
        <w:t>在解决车辆路径优化(VRP)问题时，必须建立多约束条件的数学模型以确保方案的可行性。首先，载重和容量约束确保每辆车的配送量不超过其最大承载能力；其次，访问约束保证每个客户点都能被服务且避免重复配送；最后，闭合回路约束要求车辆必须从配送中心出发并最终返回，形成完整的配送循环。这些约束共同构成了VRP问题的基础框架。</w:t>
      </w:r>
    </w:p>
    <w:p w14:paraId="75D816CC">
      <w:pPr>
        <w:spacing w:before="156" w:beforeLines="50" w:after="156" w:afterLines="50"/>
        <w:outlineLvl w:val="2"/>
        <w:rPr>
          <w:rFonts w:hint="eastAsia" w:ascii="Times New Roman" w:hAnsi="Times New Roman" w:eastAsia="黑体" w:cs="Times New Roman"/>
          <w:b/>
          <w:bCs/>
          <w:sz w:val="24"/>
          <w:lang w:val="en-US" w:eastAsia="zh-CN"/>
        </w:rPr>
      </w:pPr>
      <w:bookmarkStart w:id="93" w:name="_Toc19334"/>
      <w:r>
        <w:rPr>
          <w:rFonts w:hint="eastAsia" w:ascii="Times New Roman" w:hAnsi="Times New Roman" w:eastAsia="黑体" w:cs="Times New Roman"/>
          <w:b/>
          <w:bCs/>
          <w:sz w:val="24"/>
          <w:lang w:val="en-US" w:eastAsia="zh-CN"/>
        </w:rPr>
        <w:t>3.3.1 载重和容量约束</w:t>
      </w:r>
      <w:bookmarkEnd w:id="93"/>
    </w:p>
    <w:p w14:paraId="2A0CF356">
      <w:pPr>
        <w:spacing w:before="156" w:beforeLines="50" w:after="156" w:afterLines="50"/>
        <w:ind w:firstLine="420" w:firstLineChars="0"/>
        <w:rPr>
          <w:rFonts w:hint="eastAsia"/>
          <w:szCs w:val="21"/>
          <w:lang w:val="en-US" w:eastAsia="zh-CN"/>
        </w:rPr>
      </w:pPr>
      <w:r>
        <w:rPr>
          <w:rFonts w:hint="eastAsia"/>
          <w:szCs w:val="21"/>
          <w:lang w:val="en-US" w:eastAsia="zh-CN"/>
        </w:rPr>
        <w:t>每辆车j的最大载货量Q取容积上限和载重上限的最小值，其服务的客户总需求量不得超过Q：</w:t>
      </w:r>
    </w:p>
    <w:p w14:paraId="18EB9894">
      <w:pPr>
        <w:spacing w:before="156" w:beforeLines="50" w:after="156" w:afterLines="50"/>
        <w:jc w:val="center"/>
        <w:outlineLvl w:val="9"/>
        <w:rPr>
          <w:sz w:val="24"/>
        </w:rPr>
      </w:pPr>
      <w:r>
        <w:rPr>
          <w:position w:val="-34"/>
          <w:sz w:val="24"/>
        </w:rPr>
        <w:object>
          <v:shape id="_x0000_i1027" o:spt="75" type="#_x0000_t75" style="height:30pt;width:121pt;" o:ole="t" filled="f" o:preferrelative="t" stroked="f" coordsize="21600,21600">
            <v:path/>
            <v:fill on="f" focussize="0,0"/>
            <v:stroke on="f"/>
            <v:imagedata r:id="rId13" o:title=""/>
            <o:lock v:ext="edit" aspectratio="t"/>
            <w10:wrap type="none"/>
            <w10:anchorlock/>
          </v:shape>
          <o:OLEObject Type="Embed" ProgID="Equation.3" ShapeID="_x0000_i1027" DrawAspect="Content" ObjectID="_1468075727" r:id="rId12">
            <o:LockedField>false</o:LockedField>
          </o:OLEObject>
        </w:object>
      </w:r>
    </w:p>
    <w:p w14:paraId="3ED60775">
      <w:pPr>
        <w:spacing w:before="156" w:beforeLines="50" w:after="156" w:afterLines="50"/>
        <w:jc w:val="left"/>
        <w:outlineLvl w:val="9"/>
        <w:rPr>
          <w:rFonts w:hint="eastAsia"/>
          <w:szCs w:val="21"/>
          <w:lang w:val="en-US" w:eastAsia="zh-CN"/>
        </w:rPr>
      </w:pPr>
      <w:r>
        <w:rPr>
          <w:rFonts w:hint="eastAsia"/>
          <w:szCs w:val="21"/>
          <w:lang w:val="en-US" w:eastAsia="zh-CN"/>
        </w:rPr>
        <w:t>其中：</w:t>
      </w:r>
    </w:p>
    <w:p w14:paraId="67842549">
      <w:pPr>
        <w:spacing w:before="156" w:beforeLines="50" w:after="156" w:afterLines="50"/>
        <w:ind w:firstLine="420" w:firstLineChars="0"/>
        <w:jc w:val="left"/>
        <w:outlineLvl w:val="9"/>
        <w:rPr>
          <w:rFonts w:hint="eastAsia" w:hAnsi="Cambria Math"/>
          <w:i w:val="0"/>
          <w:szCs w:val="21"/>
          <w:lang w:val="en-US" w:eastAsia="zh-CN"/>
        </w:rPr>
      </w:pPr>
      <m:oMath>
        <m:sSub>
          <m:sSubPr>
            <m:ctrlPr>
              <w:rPr>
                <w:rFonts w:ascii="Cambria Math" w:hAnsi="Cambria Math"/>
                <w:i/>
                <w:szCs w:val="21"/>
              </w:rPr>
            </m:ctrlPr>
          </m:sSubPr>
          <m:e>
            <m:r>
              <m:rPr/>
              <w:rPr>
                <w:rFonts w:hint="default" w:ascii="Cambria Math" w:hAnsi="Cambria Math"/>
                <w:szCs w:val="21"/>
                <w:lang w:val="en-US" w:eastAsia="zh-CN"/>
              </w:rPr>
              <m:t>R</m:t>
            </m:r>
            <m:ctrlPr>
              <w:rPr>
                <w:rFonts w:ascii="Cambria Math" w:hAnsi="Cambria Math"/>
                <w:i/>
                <w:szCs w:val="21"/>
              </w:rPr>
            </m:ctrlPr>
          </m:e>
          <m:sub>
            <m:r>
              <m:rPr/>
              <w:rPr>
                <w:rFonts w:hint="default" w:ascii="Cambria Math" w:hAnsi="Cambria Math"/>
                <w:szCs w:val="21"/>
                <w:lang w:val="en-US" w:eastAsia="zh-CN"/>
              </w:rPr>
              <m:t>j</m:t>
            </m:r>
            <m:ctrlPr>
              <w:rPr>
                <w:rFonts w:ascii="Cambria Math" w:hAnsi="Cambria Math"/>
                <w:i/>
                <w:szCs w:val="21"/>
              </w:rPr>
            </m:ctrlPr>
          </m:sub>
        </m:sSub>
      </m:oMath>
      <w:r>
        <w:rPr>
          <w:rFonts w:hint="eastAsia" w:hAnsi="Cambria Math"/>
          <w:i w:val="0"/>
          <w:szCs w:val="21"/>
          <w:lang w:eastAsia="zh-CN"/>
        </w:rPr>
        <w:t>：</w:t>
      </w:r>
      <w:r>
        <w:rPr>
          <w:rFonts w:hint="eastAsia" w:hAnsi="Cambria Math"/>
          <w:i w:val="0"/>
          <w:szCs w:val="21"/>
          <w:lang w:val="en-US" w:eastAsia="zh-CN"/>
        </w:rPr>
        <w:t>车辆j服务的客户集合</w:t>
      </w:r>
    </w:p>
    <w:p w14:paraId="484094ED">
      <w:pPr>
        <w:spacing w:before="156" w:beforeLines="50" w:after="156" w:afterLines="50"/>
        <w:ind w:firstLine="420" w:firstLineChars="0"/>
        <w:jc w:val="left"/>
        <w:outlineLvl w:val="9"/>
        <w:rPr>
          <w:rFonts w:hint="eastAsia" w:hAnsi="Cambria Math"/>
          <w:i w:val="0"/>
          <w:szCs w:val="21"/>
          <w:lang w:val="en-US" w:eastAsia="zh-CN"/>
        </w:rPr>
      </w:pPr>
      <m:oMath>
        <m:sSub>
          <m:sSubPr>
            <m:ctrlPr>
              <w:rPr>
                <w:rFonts w:ascii="Cambria Math" w:hAnsi="Cambria Math"/>
                <w:i/>
                <w:szCs w:val="21"/>
              </w:rPr>
            </m:ctrlPr>
          </m:sSubPr>
          <m:e>
            <m:r>
              <m:rPr/>
              <w:rPr>
                <w:rFonts w:hint="default" w:ascii="Cambria Math" w:hAnsi="Cambria Math"/>
                <w:szCs w:val="21"/>
                <w:lang w:val="en-US" w:eastAsia="zh-CN"/>
              </w:rPr>
              <m:t>d</m:t>
            </m:r>
            <m:ctrlPr>
              <w:rPr>
                <w:rFonts w:ascii="Cambria Math" w:hAnsi="Cambria Math"/>
                <w:i/>
                <w:szCs w:val="21"/>
              </w:rPr>
            </m:ctrlPr>
          </m:e>
          <m:sub>
            <m:r>
              <m:rPr/>
              <w:rPr>
                <w:rFonts w:hint="default" w:ascii="Cambria Math" w:hAnsi="Cambria Math"/>
                <w:szCs w:val="21"/>
                <w:lang w:val="en-US" w:eastAsia="zh-CN"/>
              </w:rPr>
              <m:t>i</m:t>
            </m:r>
            <m:ctrlPr>
              <w:rPr>
                <w:rFonts w:ascii="Cambria Math" w:hAnsi="Cambria Math"/>
                <w:i/>
                <w:szCs w:val="21"/>
              </w:rPr>
            </m:ctrlPr>
          </m:sub>
        </m:sSub>
      </m:oMath>
      <w:r>
        <w:rPr>
          <w:rFonts w:hint="eastAsia" w:hAnsi="Cambria Math"/>
          <w:i w:val="0"/>
          <w:szCs w:val="21"/>
          <w:lang w:eastAsia="zh-CN"/>
        </w:rPr>
        <w:t>：</w:t>
      </w:r>
      <w:r>
        <w:rPr>
          <w:rFonts w:hint="eastAsia" w:hAnsi="Cambria Math"/>
          <w:i w:val="0"/>
          <w:szCs w:val="21"/>
          <w:lang w:val="en-US" w:eastAsia="zh-CN"/>
        </w:rPr>
        <w:t>客户i的需求量</w:t>
      </w:r>
    </w:p>
    <w:p w14:paraId="25A34EC3">
      <w:pPr>
        <w:spacing w:before="156" w:beforeLines="50" w:after="156" w:afterLines="50"/>
        <w:ind w:firstLine="420" w:firstLineChars="0"/>
        <w:jc w:val="left"/>
        <w:outlineLvl w:val="9"/>
        <w:rPr>
          <w:rFonts w:hint="eastAsia" w:hAnsi="Cambria Math"/>
          <w:i w:val="0"/>
          <w:szCs w:val="21"/>
          <w:lang w:val="en-US" w:eastAsia="zh-CN"/>
        </w:rPr>
      </w:pPr>
      <w:r>
        <w:rPr>
          <w:rFonts w:hint="eastAsia" w:hAnsi="Cambria Math"/>
          <w:i w:val="0"/>
          <w:szCs w:val="21"/>
          <w:lang w:val="en-US" w:eastAsia="zh-CN"/>
        </w:rPr>
        <w:t>Q：车辆容量（min（容积上限，载重上限））</w:t>
      </w:r>
    </w:p>
    <w:p w14:paraId="223AA3A3">
      <w:pPr>
        <w:spacing w:before="156" w:beforeLines="50" w:after="156" w:afterLines="50"/>
        <w:jc w:val="left"/>
        <w:outlineLvl w:val="2"/>
        <w:rPr>
          <w:rFonts w:hint="eastAsia" w:ascii="Times New Roman" w:hAnsi="Times New Roman" w:eastAsia="黑体" w:cs="Times New Roman"/>
          <w:b/>
          <w:bCs/>
          <w:sz w:val="24"/>
          <w:lang w:val="en-US" w:eastAsia="zh-CN"/>
        </w:rPr>
      </w:pPr>
      <w:bookmarkStart w:id="94" w:name="_Toc13257"/>
      <w:r>
        <w:rPr>
          <w:rFonts w:hint="eastAsia" w:ascii="Times New Roman" w:hAnsi="Times New Roman" w:eastAsia="黑体" w:cs="Times New Roman"/>
          <w:b/>
          <w:bCs/>
          <w:sz w:val="24"/>
          <w:lang w:val="en-US" w:eastAsia="zh-CN"/>
        </w:rPr>
        <w:t>3.3.2 访问约束</w:t>
      </w:r>
      <w:bookmarkEnd w:id="94"/>
    </w:p>
    <w:p w14:paraId="75260660">
      <w:pPr>
        <w:spacing w:before="156" w:beforeLines="50" w:after="156" w:afterLines="50"/>
        <w:ind w:firstLine="420" w:firstLineChars="0"/>
        <w:jc w:val="left"/>
        <w:outlineLvl w:val="9"/>
        <w:rPr>
          <w:rFonts w:hint="eastAsia"/>
          <w:szCs w:val="21"/>
          <w:lang w:val="en-US" w:eastAsia="zh-CN"/>
        </w:rPr>
      </w:pPr>
      <w:r>
        <w:rPr>
          <w:rFonts w:hint="eastAsia"/>
          <w:szCs w:val="21"/>
          <w:lang w:val="en-US" w:eastAsia="zh-CN"/>
        </w:rPr>
        <w:t>每个客户i必须被且仅被访问一次：</w:t>
      </w:r>
    </w:p>
    <w:p w14:paraId="3D0134E1">
      <w:pPr>
        <w:spacing w:before="156" w:beforeLines="50" w:after="156" w:afterLines="50"/>
        <w:ind w:firstLine="420" w:firstLineChars="0"/>
        <w:jc w:val="center"/>
        <w:outlineLvl w:val="9"/>
        <w:rPr>
          <w:rFonts w:hint="eastAsia"/>
          <w:szCs w:val="21"/>
          <w:lang w:val="en-US" w:eastAsia="zh-CN"/>
        </w:rPr>
      </w:pPr>
      <w:r>
        <w:rPr>
          <w:position w:val="-34"/>
          <w:sz w:val="24"/>
        </w:rPr>
        <w:object>
          <v:shape id="_x0000_i1028" o:spt="75" type="#_x0000_t75" style="height:30pt;width:117pt;" o:ole="t" filled="f" o:preferrelative="t" stroked="f" coordsize="21600,21600">
            <v:path/>
            <v:fill on="f" focussize="0,0"/>
            <v:stroke on="f"/>
            <v:imagedata r:id="rId15" o:title=""/>
            <o:lock v:ext="edit" aspectratio="t"/>
            <w10:wrap type="none"/>
            <w10:anchorlock/>
          </v:shape>
          <o:OLEObject Type="Embed" ProgID="Equation.3" ShapeID="_x0000_i1028" DrawAspect="Content" ObjectID="_1468075728" r:id="rId14">
            <o:LockedField>false</o:LockedField>
          </o:OLEObject>
        </w:object>
      </w:r>
    </w:p>
    <w:p w14:paraId="3DB62B9B">
      <w:pPr>
        <w:bidi w:val="0"/>
        <w:rPr>
          <w:rFonts w:hint="eastAsia"/>
          <w:lang w:val="en-US" w:eastAsia="zh-CN"/>
        </w:rPr>
      </w:pPr>
      <w:r>
        <w:rPr>
          <w:rFonts w:hint="eastAsia"/>
          <w:lang w:val="en-US" w:eastAsia="zh-CN"/>
        </w:rPr>
        <w:t>其中：</w:t>
      </w:r>
    </w:p>
    <w:p w14:paraId="5158F2CD">
      <w:pPr>
        <w:bidi w:val="0"/>
        <w:ind w:left="420" w:leftChars="0" w:firstLine="420" w:firstLineChars="0"/>
        <w:rPr>
          <w:rFonts w:hint="default"/>
          <w:lang w:val="en-US" w:eastAsia="zh-CN"/>
        </w:rPr>
      </w:pPr>
      <m:oMathPara>
        <m:oMathParaPr>
          <m:jc m:val="left"/>
        </m:oMathParaPr>
        <m:oMath>
          <m:sSub>
            <m:sSubPr>
              <m:ctrlPr>
                <w:rPr>
                  <w:rFonts w:ascii="Cambria Math" w:hAnsi="Cambria Math"/>
                  <w:lang w:val="en-US"/>
                </w:rPr>
              </m:ctrlPr>
            </m:sSubPr>
            <m:e>
              <m:r>
                <m:rPr>
                  <m:sty m:val="p"/>
                </m:rPr>
                <w:rPr>
                  <w:rFonts w:hint="default" w:ascii="Cambria Math" w:hAnsi="Cambria Math"/>
                  <w:lang w:val="en-US" w:eastAsia="zh-CN"/>
                </w:rPr>
                <m:t>x</m:t>
              </m:r>
              <m:ctrlPr>
                <w:rPr>
                  <w:rFonts w:ascii="Cambria Math" w:hAnsi="Cambria Math"/>
                  <w:lang w:val="en-US"/>
                </w:rPr>
              </m:ctrlPr>
            </m:e>
            <m:sub>
              <m:r>
                <m:rPr>
                  <m:sty m:val="p"/>
                </m:rPr>
                <w:rPr>
                  <w:rFonts w:hint="default" w:ascii="Cambria Math" w:hAnsi="Cambria Math"/>
                  <w:lang w:val="en-US" w:eastAsia="zh-CN"/>
                </w:rPr>
                <m:t>ij</m:t>
              </m:r>
              <m:ctrlPr>
                <w:rPr>
                  <w:rFonts w:ascii="Cambria Math" w:hAnsi="Cambria Math"/>
                  <w:lang w:val="en-US"/>
                </w:rPr>
              </m:ctrlPr>
            </m:sub>
          </m:sSub>
          <m:r>
            <m:rPr>
              <m:sty m:val="p"/>
            </m:rPr>
            <w:rPr>
              <w:rFonts w:hint="default" w:ascii="Cambria Math" w:hAnsi="Cambria Math"/>
              <w:lang w:val="en-US" w:eastAsia="zh-CN"/>
            </w:rPr>
            <m:t>=</m:t>
          </m:r>
          <m:d>
            <m:dPr>
              <m:begChr m:val="{"/>
              <m:endChr m:val=""/>
              <m:ctrlPr>
                <w:rPr>
                  <w:rFonts w:hint="default" w:ascii="Cambria Math" w:hAnsi="Cambria Math"/>
                  <w:lang w:val="en-US" w:eastAsia="zh-CN"/>
                </w:rPr>
              </m:ctrlPr>
            </m:dPr>
            <m:e>
              <m:eqArr>
                <m:eqArrPr>
                  <m:ctrlPr>
                    <w:rPr>
                      <w:rFonts w:hint="default" w:ascii="Cambria Math" w:hAnsi="Cambria Math"/>
                      <w:lang w:val="en-US" w:eastAsia="zh-CN"/>
                    </w:rPr>
                  </m:ctrlPr>
                </m:eqArrPr>
                <m:e>
                  <m:r>
                    <m:rPr>
                      <m:sty m:val="p"/>
                    </m:rPr>
                    <w:rPr>
                      <w:rFonts w:hint="default" w:ascii="Cambria Math" w:hAnsi="Cambria Math"/>
                      <w:lang w:val="en-US" w:eastAsia="zh-CN"/>
                    </w:rPr>
                    <m:t xml:space="preserve">1     </m:t>
                  </m:r>
                  <m:r>
                    <m:rPr>
                      <m:sty m:val="p"/>
                    </m:rPr>
                    <w:rPr>
                      <w:rFonts w:hint="eastAsia" w:ascii="Cambria Math" w:hAnsi="Cambria Math"/>
                      <w:lang w:val="en-US" w:eastAsia="zh-CN"/>
                    </w:rPr>
                    <m:t>车辆</m:t>
                  </m:r>
                  <m:r>
                    <m:rPr>
                      <m:sty m:val="p"/>
                    </m:rPr>
                    <w:rPr>
                      <w:rFonts w:hint="default" w:ascii="Cambria Math" w:hAnsi="Cambria Math"/>
                      <w:lang w:val="en-US" w:eastAsia="zh-CN"/>
                    </w:rPr>
                    <m:t>j</m:t>
                  </m:r>
                  <m:r>
                    <m:rPr>
                      <m:sty m:val="p"/>
                    </m:rPr>
                    <w:rPr>
                      <w:rFonts w:hint="eastAsia" w:ascii="Cambria Math" w:hAnsi="Cambria Math"/>
                      <w:lang w:val="en-US" w:eastAsia="zh-CN"/>
                    </w:rPr>
                    <m:t>服务用户</m:t>
                  </m:r>
                  <m:r>
                    <m:rPr>
                      <m:sty m:val="p"/>
                    </m:rPr>
                    <w:rPr>
                      <w:rFonts w:hint="default" w:ascii="Cambria Math" w:hAnsi="Cambria Math"/>
                      <w:lang w:val="en-US" w:eastAsia="zh-CN"/>
                    </w:rPr>
                    <m:t>i</m:t>
                  </m:r>
                  <m:ctrlPr>
                    <w:rPr>
                      <w:rFonts w:hint="default" w:ascii="Cambria Math" w:hAnsi="Cambria Math"/>
                      <w:lang w:val="en-US" w:eastAsia="zh-CN"/>
                    </w:rPr>
                  </m:ctrlPr>
                </m:e>
                <m:e>
                  <m:r>
                    <m:rPr>
                      <m:sty m:val="p"/>
                    </m:rPr>
                    <w:rPr>
                      <w:rFonts w:hint="default" w:ascii="Cambria Math" w:hAnsi="Cambria Math"/>
                      <w:lang w:val="en-US" w:eastAsia="zh-CN"/>
                    </w:rPr>
                    <m:t xml:space="preserve">0     </m:t>
                  </m:r>
                  <m:r>
                    <m:rPr>
                      <m:sty m:val="p"/>
                    </m:rPr>
                    <w:rPr>
                      <w:rFonts w:hint="eastAsia" w:ascii="Cambria Math" w:hAnsi="Cambria Math"/>
                      <w:lang w:val="en-US" w:eastAsia="zh-CN"/>
                    </w:rPr>
                    <m:t>车</m:t>
                  </m:r>
                  <m:r>
                    <m:rPr>
                      <m:sty m:val="p"/>
                    </m:rPr>
                    <w:rPr>
                      <w:rFonts w:hint="default" w:ascii="Cambria Math" w:hAnsi="Cambria Math"/>
                      <w:lang w:val="en-US" w:eastAsia="zh-CN"/>
                    </w:rPr>
                    <m:t>j</m:t>
                  </m:r>
                  <m:r>
                    <m:rPr>
                      <m:sty m:val="p"/>
                    </m:rPr>
                    <w:rPr>
                      <w:rFonts w:hint="eastAsia" w:ascii="Cambria Math" w:hAnsi="Cambria Math"/>
                      <w:lang w:val="en-US" w:eastAsia="zh-CN"/>
                    </w:rPr>
                    <m:t>不服务用户</m:t>
                  </m:r>
                  <m:r>
                    <m:rPr>
                      <m:sty m:val="p"/>
                    </m:rPr>
                    <w:rPr>
                      <w:rFonts w:hint="default" w:ascii="Cambria Math" w:hAnsi="Cambria Math"/>
                      <w:lang w:val="en-US" w:eastAsia="zh-CN"/>
                    </w:rPr>
                    <m:t>i</m:t>
                  </m:r>
                  <m:ctrlPr>
                    <w:rPr>
                      <w:rFonts w:hint="default" w:ascii="Cambria Math" w:hAnsi="Cambria Math"/>
                      <w:lang w:val="en-US" w:eastAsia="zh-CN"/>
                    </w:rPr>
                  </m:ctrlPr>
                </m:e>
              </m:eqArr>
              <m:ctrlPr>
                <w:rPr>
                  <w:rFonts w:hint="default" w:ascii="Cambria Math" w:hAnsi="Cambria Math"/>
                  <w:lang w:val="en-US" w:eastAsia="zh-CN"/>
                </w:rPr>
              </m:ctrlPr>
            </m:e>
          </m:d>
        </m:oMath>
      </m:oMathPara>
    </w:p>
    <w:p w14:paraId="138CCA7D">
      <w:pPr>
        <w:bidi w:val="0"/>
        <w:ind w:firstLine="420" w:firstLineChars="0"/>
        <w:rPr>
          <w:rFonts w:hint="eastAsia"/>
          <w:lang w:val="en-US" w:eastAsia="zh-CN"/>
        </w:rPr>
      </w:pPr>
      <m:oMath>
        <m:r>
          <m:rPr>
            <m:sty m:val="p"/>
          </m:rPr>
          <w:rPr>
            <w:rFonts w:hint="eastAsia" w:ascii="Cambria Math" w:hAnsi="Cambria Math"/>
            <w:lang w:val="en-US" w:eastAsia="zh-CN"/>
          </w:rPr>
          <m:t>m</m:t>
        </m:r>
      </m:oMath>
      <w:r>
        <w:rPr>
          <w:rFonts w:hint="eastAsia"/>
          <w:lang w:val="en-US" w:eastAsia="zh-CN"/>
        </w:rPr>
        <w:t>：总车辆数</w:t>
      </w:r>
    </w:p>
    <w:p w14:paraId="354847A6">
      <w:pPr>
        <w:spacing w:before="156" w:beforeLines="50" w:after="156" w:afterLines="50"/>
        <w:jc w:val="left"/>
        <w:outlineLvl w:val="2"/>
        <w:rPr>
          <w:rFonts w:hint="eastAsia" w:ascii="Times New Roman" w:hAnsi="Times New Roman" w:eastAsia="黑体" w:cs="Times New Roman"/>
          <w:b/>
          <w:bCs/>
          <w:sz w:val="24"/>
          <w:lang w:val="en-US" w:eastAsia="zh-CN"/>
        </w:rPr>
      </w:pPr>
      <w:bookmarkStart w:id="95" w:name="_Toc3616"/>
      <w:r>
        <w:rPr>
          <w:rFonts w:hint="eastAsia" w:ascii="Times New Roman" w:hAnsi="Times New Roman" w:eastAsia="黑体" w:cs="Times New Roman"/>
          <w:b/>
          <w:bCs/>
          <w:sz w:val="24"/>
          <w:lang w:val="en-US" w:eastAsia="zh-CN"/>
        </w:rPr>
        <w:t>3.3.3 闭合回路约束</w:t>
      </w:r>
      <w:bookmarkEnd w:id="95"/>
    </w:p>
    <w:p w14:paraId="5F19B19B">
      <w:pPr>
        <w:bidi w:val="0"/>
        <w:ind w:firstLine="420" w:firstLineChars="0"/>
        <w:rPr>
          <w:rFonts w:hint="eastAsia"/>
          <w:lang w:val="en-US" w:eastAsia="zh-CN"/>
        </w:rPr>
      </w:pPr>
      <w:r>
        <w:rPr>
          <w:rFonts w:hint="eastAsia"/>
          <w:lang w:val="en-US" w:eastAsia="zh-CN"/>
        </w:rPr>
        <w:t>每辆车 j 必须从配送中心出发并最终返回：</w:t>
      </w:r>
    </w:p>
    <w:p w14:paraId="40A3208C">
      <w:pPr>
        <w:bidi w:val="0"/>
        <w:ind w:firstLine="420" w:firstLineChars="0"/>
        <w:jc w:val="center"/>
        <w:rPr>
          <w:sz w:val="24"/>
        </w:rPr>
      </w:pPr>
      <w:r>
        <w:rPr>
          <w:position w:val="-28"/>
          <w:sz w:val="24"/>
        </w:rPr>
        <w:object>
          <v:shape id="_x0000_i1029" o:spt="75" type="#_x0000_t75" style="height:34pt;width:181pt;" o:ole="t" filled="f" o:preferrelative="t" stroked="f" coordsize="21600,21600">
            <v:path/>
            <v:fill on="f" focussize="0,0"/>
            <v:stroke on="f"/>
            <v:imagedata r:id="rId17" o:title=""/>
            <o:lock v:ext="edit" aspectratio="t"/>
            <w10:wrap type="none"/>
            <w10:anchorlock/>
          </v:shape>
          <o:OLEObject Type="Embed" ProgID="Equation.3" ShapeID="_x0000_i1029" DrawAspect="Content" ObjectID="_1468075729" r:id="rId16">
            <o:LockedField>false</o:LockedField>
          </o:OLEObject>
        </w:object>
      </w:r>
    </w:p>
    <w:p w14:paraId="73B82E99">
      <w:pPr>
        <w:bidi w:val="0"/>
        <w:rPr>
          <w:rFonts w:hint="eastAsia"/>
          <w:lang w:val="en-US" w:eastAsia="zh-CN"/>
        </w:rPr>
      </w:pPr>
      <w:r>
        <w:rPr>
          <w:rFonts w:hint="eastAsia"/>
          <w:lang w:val="en-US" w:eastAsia="zh-CN"/>
        </w:rPr>
        <w:t>其中：</w:t>
      </w:r>
    </w:p>
    <w:p w14:paraId="42F32A29">
      <w:pPr>
        <w:bidi w:val="0"/>
        <w:ind w:firstLine="420" w:firstLineChars="0"/>
        <w:rPr>
          <w:rFonts w:hint="eastAsia"/>
          <w:lang w:val="en-US" w:eastAsia="zh-CN"/>
        </w:rPr>
      </w:pPr>
      <m:oMath>
        <m:sSub>
          <m:sSubPr>
            <m:ctrlPr>
              <w:rPr>
                <w:rFonts w:ascii="Cambria Math" w:hAnsi="Cambria Math"/>
                <w:lang w:val="en-US"/>
              </w:rPr>
            </m:ctrlPr>
          </m:sSubPr>
          <m:e>
            <m:r>
              <m:rPr>
                <m:sty m:val="p"/>
              </m:rPr>
              <w:rPr>
                <w:rFonts w:hint="default" w:ascii="Cambria Math" w:hAnsi="Cambria Math"/>
                <w:lang w:val="en-US" w:eastAsia="zh-CN"/>
              </w:rPr>
              <m:t>x</m:t>
            </m:r>
            <m:ctrlPr>
              <w:rPr>
                <w:rFonts w:ascii="Cambria Math" w:hAnsi="Cambria Math"/>
                <w:lang w:val="en-US"/>
              </w:rPr>
            </m:ctrlPr>
          </m:e>
          <m:sub>
            <m:r>
              <m:rPr>
                <m:sty m:val="p"/>
              </m:rPr>
              <w:rPr>
                <w:rFonts w:hint="default" w:ascii="Cambria Math" w:hAnsi="Cambria Math"/>
                <w:lang w:val="en-US" w:eastAsia="zh-CN"/>
              </w:rPr>
              <m:t>0ij</m:t>
            </m:r>
            <m:ctrlPr>
              <w:rPr>
                <w:rFonts w:ascii="Cambria Math" w:hAnsi="Cambria Math"/>
                <w:lang w:val="en-US"/>
              </w:rPr>
            </m:ctrlPr>
          </m:sub>
        </m:sSub>
      </m:oMath>
      <w:r>
        <w:rPr>
          <w:rFonts w:hint="eastAsia"/>
          <w:lang w:val="en-US" w:eastAsia="zh-CN"/>
        </w:rPr>
        <w:t>：车辆j从配送中心到客户i的路径标识</w:t>
      </w:r>
    </w:p>
    <w:p w14:paraId="458F05F9">
      <w:pPr>
        <w:bidi w:val="0"/>
        <w:ind w:firstLine="420" w:firstLineChars="0"/>
        <w:rPr>
          <w:rFonts w:hint="eastAsia"/>
          <w:lang w:val="en-US" w:eastAsia="zh-CN"/>
        </w:rPr>
      </w:pPr>
      <m:oMath>
        <m:sSub>
          <m:sSubPr>
            <m:ctrlPr>
              <w:rPr>
                <w:rFonts w:ascii="Cambria Math" w:hAnsi="Cambria Math"/>
                <w:lang w:val="en-US"/>
              </w:rPr>
            </m:ctrlPr>
          </m:sSubPr>
          <m:e>
            <m:r>
              <m:rPr>
                <m:sty m:val="p"/>
              </m:rPr>
              <w:rPr>
                <w:rFonts w:hint="default" w:ascii="Cambria Math" w:hAnsi="Cambria Math"/>
                <w:lang w:val="en-US" w:eastAsia="zh-CN"/>
              </w:rPr>
              <m:t>x</m:t>
            </m:r>
            <m:ctrlPr>
              <w:rPr>
                <w:rFonts w:ascii="Cambria Math" w:hAnsi="Cambria Math"/>
                <w:lang w:val="en-US"/>
              </w:rPr>
            </m:ctrlPr>
          </m:e>
          <m:sub>
            <m:r>
              <m:rPr>
                <m:sty m:val="p"/>
              </m:rPr>
              <w:rPr>
                <w:rFonts w:hint="default" w:ascii="Cambria Math" w:hAnsi="Cambria Math"/>
                <w:lang w:val="en-US" w:eastAsia="zh-CN"/>
              </w:rPr>
              <m:t>i0j</m:t>
            </m:r>
            <m:ctrlPr>
              <w:rPr>
                <w:rFonts w:ascii="Cambria Math" w:hAnsi="Cambria Math"/>
                <w:lang w:val="en-US"/>
              </w:rPr>
            </m:ctrlPr>
          </m:sub>
        </m:sSub>
      </m:oMath>
      <w:r>
        <w:rPr>
          <w:rFonts w:hint="eastAsia"/>
          <w:lang w:val="en-US" w:eastAsia="zh-CN"/>
        </w:rPr>
        <w:t>：车辆j从客户i返回配送中心的路径标识</w:t>
      </w:r>
    </w:p>
    <w:p w14:paraId="0736AF22">
      <w:pPr>
        <w:bidi w:val="0"/>
        <w:ind w:firstLine="420" w:firstLineChars="0"/>
        <w:jc w:val="both"/>
        <w:rPr>
          <w:rFonts w:hint="eastAsia" w:ascii="Times New Roman" w:hAnsi="Times New Roman" w:eastAsia="黑体" w:cs="Times New Roman"/>
          <w:b/>
          <w:bCs/>
          <w:lang w:val="en-US" w:eastAsia="zh-CN"/>
        </w:rPr>
      </w:pPr>
      <w:r>
        <w:rPr>
          <w:rFonts w:hint="eastAsia"/>
          <w:lang w:val="en-US" w:eastAsia="zh-CN"/>
        </w:rPr>
        <w:t>下标0标识配送中心</w:t>
      </w:r>
      <w:r>
        <w:rPr>
          <w:rFonts w:hint="eastAsia" w:ascii="Times New Roman" w:hAnsi="Times New Roman" w:eastAsia="黑体" w:cs="Times New Roman"/>
          <w:b/>
          <w:bCs/>
          <w:lang w:val="en-US" w:eastAsia="zh-CN"/>
        </w:rPr>
        <w:br w:type="page"/>
      </w:r>
      <w:bookmarkStart w:id="96" w:name="_Toc18332"/>
      <w:bookmarkStart w:id="97" w:name="_Toc24297"/>
    </w:p>
    <w:p w14:paraId="62F31EFF">
      <w:pPr>
        <w:spacing w:before="156" w:beforeLines="50" w:after="156" w:afterLines="50"/>
        <w:jc w:val="center"/>
        <w:outlineLvl w:val="0"/>
        <w:rPr>
          <w:rFonts w:hint="default" w:eastAsia="黑体"/>
          <w:b/>
          <w:bCs/>
          <w:sz w:val="30"/>
          <w:szCs w:val="30"/>
          <w:lang w:val="en-US" w:eastAsia="zh-CN"/>
        </w:rPr>
      </w:pPr>
      <w:bookmarkStart w:id="98" w:name="_Toc31213"/>
      <w:r>
        <w:rPr>
          <w:rFonts w:hint="eastAsia" w:eastAsia="黑体"/>
          <w:b/>
          <w:bCs/>
          <w:sz w:val="30"/>
          <w:szCs w:val="30"/>
        </w:rPr>
        <w:t xml:space="preserve">4 </w:t>
      </w:r>
      <w:r>
        <w:rPr>
          <w:rFonts w:hint="eastAsia" w:eastAsia="黑体"/>
          <w:b/>
          <w:bCs/>
          <w:sz w:val="30"/>
          <w:szCs w:val="30"/>
          <w:lang w:val="en-US" w:eastAsia="zh-CN"/>
        </w:rPr>
        <w:t>结果评估</w:t>
      </w:r>
      <w:bookmarkEnd w:id="96"/>
      <w:bookmarkEnd w:id="97"/>
      <w:bookmarkEnd w:id="98"/>
    </w:p>
    <w:p w14:paraId="5D8CDE24">
      <w:pPr>
        <w:spacing w:before="156" w:beforeLines="50" w:after="156" w:afterLines="50"/>
        <w:outlineLvl w:val="1"/>
        <w:rPr>
          <w:rFonts w:eastAsia="黑体"/>
          <w:b/>
          <w:bCs/>
          <w:sz w:val="28"/>
          <w:szCs w:val="28"/>
        </w:rPr>
      </w:pPr>
      <w:bookmarkStart w:id="99" w:name="_Toc27007"/>
      <w:bookmarkStart w:id="100" w:name="_Toc25997"/>
      <w:bookmarkStart w:id="101" w:name="_Toc16563"/>
      <w:r>
        <w:rPr>
          <w:rFonts w:eastAsia="黑体"/>
          <w:b/>
          <w:bCs/>
          <w:sz w:val="28"/>
          <w:szCs w:val="28"/>
        </w:rPr>
        <w:t xml:space="preserve">4.1 </w:t>
      </w:r>
      <w:r>
        <w:rPr>
          <w:rFonts w:hint="eastAsia" w:eastAsia="黑体"/>
          <w:b/>
          <w:bCs/>
          <w:sz w:val="28"/>
          <w:szCs w:val="28"/>
        </w:rPr>
        <w:t>K-MEANS-GA算法结果评估</w:t>
      </w:r>
      <w:bookmarkEnd w:id="99"/>
      <w:bookmarkEnd w:id="100"/>
      <w:bookmarkEnd w:id="101"/>
    </w:p>
    <w:p w14:paraId="496FBAAB">
      <w:pPr>
        <w:spacing w:before="156" w:beforeLines="50" w:after="156" w:afterLines="50"/>
        <w:ind w:firstLine="420" w:firstLineChars="0"/>
        <w:jc w:val="left"/>
        <w:outlineLvl w:val="9"/>
        <w:rPr>
          <w:rFonts w:hint="eastAsia"/>
          <w:szCs w:val="21"/>
        </w:rPr>
      </w:pPr>
      <w:bookmarkStart w:id="102" w:name="_Toc15917"/>
      <w:bookmarkStart w:id="103" w:name="_Toc9734"/>
      <w:r>
        <w:rPr>
          <w:rFonts w:hint="eastAsia"/>
          <w:szCs w:val="21"/>
        </w:rPr>
        <w:t>遗传算法是一种基于生物进化原理的智能优化方法，属于进化计算的重要分支。该算法通过模拟自然界"优胜劣汰"的进化机制，采用迭代搜索策略寻找最优解。其运行流程主要包括以下几个关键环节：首先，算法随机产生若干候选解构成初始群体，这些解以编码形式存在，称为染色体。随后，系统通过设定的评价函数对每个染色体进行优劣评估，即计算适应度值。在进化过程中，算法依据适应度大小按概率选择优质染色体作为父代，并通过交叉重组操作产生新一代个体。为维持群体多样性，算法还引入随机变异机制。经过多代进化后，群体中的优秀个体将逐渐逼近问题的最优解。</w:t>
      </w:r>
    </w:p>
    <w:p w14:paraId="652B92C9">
      <w:pPr>
        <w:spacing w:before="156" w:beforeLines="50" w:after="156" w:afterLines="50"/>
        <w:ind w:firstLine="420" w:firstLineChars="0"/>
        <w:jc w:val="both"/>
        <w:outlineLvl w:val="9"/>
        <w:rPr>
          <w:rFonts w:hint="eastAsia"/>
          <w:lang w:val="en-US" w:eastAsia="zh-CN"/>
        </w:rPr>
      </w:pPr>
      <w:r>
        <w:rPr>
          <w:rFonts w:hint="eastAsia"/>
          <w:lang w:val="en-US" w:eastAsia="zh-CN"/>
        </w:rPr>
        <w:drawing>
          <wp:inline distT="0" distB="0" distL="114300" distR="114300">
            <wp:extent cx="4647565" cy="1192530"/>
            <wp:effectExtent l="0" t="0" r="635" b="11430"/>
            <wp:docPr id="5" name="图片 5" descr="GA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GA流程图"/>
                    <pic:cNvPicPr>
                      <a:picLocks noChangeAspect="1"/>
                    </pic:cNvPicPr>
                  </pic:nvPicPr>
                  <pic:blipFill>
                    <a:blip r:embed="rId18"/>
                    <a:stretch>
                      <a:fillRect/>
                    </a:stretch>
                  </pic:blipFill>
                  <pic:spPr>
                    <a:xfrm>
                      <a:off x="0" y="0"/>
                      <a:ext cx="4647565" cy="1192530"/>
                    </a:xfrm>
                    <a:prstGeom prst="rect">
                      <a:avLst/>
                    </a:prstGeom>
                  </pic:spPr>
                </pic:pic>
              </a:graphicData>
            </a:graphic>
          </wp:inline>
        </w:drawing>
      </w:r>
    </w:p>
    <w:p w14:paraId="6B9291B0">
      <w:pPr>
        <w:pStyle w:val="5"/>
        <w:spacing w:before="156" w:beforeLines="50" w:after="156" w:afterLines="50"/>
        <w:ind w:firstLine="420" w:firstLineChars="0"/>
        <w:jc w:val="center"/>
        <w:outlineLvl w:val="9"/>
        <w:rPr>
          <w:rFonts w:hint="default" w:ascii="Times New Roman" w:hAnsi="Times New Roman" w:eastAsia="宋体" w:cs="Times New Roman"/>
          <w:kern w:val="2"/>
          <w:sz w:val="18"/>
          <w:szCs w:val="18"/>
          <w:lang w:val="en-US" w:eastAsia="zh-CN" w:bidi="ar-SA"/>
        </w:rPr>
      </w:pPr>
      <w:r>
        <w:rPr>
          <w:rFonts w:ascii="Times New Roman" w:hAnsi="Times New Roman" w:eastAsia="宋体" w:cs="Times New Roman"/>
          <w:kern w:val="2"/>
          <w:sz w:val="18"/>
          <w:szCs w:val="18"/>
          <w:lang w:val="en-US" w:eastAsia="zh-CN" w:bidi="ar-SA"/>
        </w:rPr>
        <w:t xml:space="preserve">图 </w:t>
      </w:r>
      <w:r>
        <w:rPr>
          <w:rFonts w:ascii="Times New Roman" w:hAnsi="Times New Roman" w:eastAsia="宋体" w:cs="Times New Roman"/>
          <w:kern w:val="2"/>
          <w:sz w:val="18"/>
          <w:szCs w:val="18"/>
          <w:lang w:val="en-US" w:eastAsia="zh-CN" w:bidi="ar-SA"/>
        </w:rPr>
        <w:fldChar w:fldCharType="begin"/>
      </w:r>
      <w:r>
        <w:rPr>
          <w:rFonts w:ascii="Times New Roman" w:hAnsi="Times New Roman" w:eastAsia="宋体" w:cs="Times New Roman"/>
          <w:kern w:val="2"/>
          <w:sz w:val="18"/>
          <w:szCs w:val="18"/>
          <w:lang w:val="en-US" w:eastAsia="zh-CN" w:bidi="ar-SA"/>
        </w:rPr>
        <w:instrText xml:space="preserve"> SEQ 图 \* ARABIC </w:instrText>
      </w:r>
      <w:r>
        <w:rPr>
          <w:rFonts w:ascii="Times New Roman" w:hAnsi="Times New Roman" w:eastAsia="宋体" w:cs="Times New Roman"/>
          <w:kern w:val="2"/>
          <w:sz w:val="18"/>
          <w:szCs w:val="18"/>
          <w:lang w:val="en-US" w:eastAsia="zh-CN" w:bidi="ar-SA"/>
        </w:rPr>
        <w:fldChar w:fldCharType="separate"/>
      </w:r>
      <w:r>
        <w:rPr>
          <w:rFonts w:ascii="Times New Roman" w:hAnsi="Times New Roman" w:eastAsia="宋体" w:cs="Times New Roman"/>
          <w:kern w:val="2"/>
          <w:sz w:val="18"/>
          <w:szCs w:val="18"/>
          <w:lang w:val="en-US" w:eastAsia="zh-CN" w:bidi="ar-SA"/>
        </w:rPr>
        <w:t>2</w:t>
      </w:r>
      <w:r>
        <w:rPr>
          <w:rFonts w:ascii="Times New Roman" w:hAnsi="Times New Roman" w:eastAsia="宋体" w:cs="Times New Roman"/>
          <w:kern w:val="2"/>
          <w:sz w:val="18"/>
          <w:szCs w:val="18"/>
          <w:lang w:val="en-US" w:eastAsia="zh-CN" w:bidi="ar-SA"/>
        </w:rPr>
        <w:fldChar w:fldCharType="end"/>
      </w:r>
      <w:r>
        <w:rPr>
          <w:rFonts w:hint="eastAsia" w:ascii="Times New Roman" w:hAnsi="Times New Roman" w:eastAsia="宋体" w:cs="Times New Roman"/>
          <w:kern w:val="2"/>
          <w:sz w:val="18"/>
          <w:szCs w:val="18"/>
          <w:lang w:val="en-US" w:eastAsia="zh-CN" w:bidi="ar-SA"/>
        </w:rPr>
        <w:t xml:space="preserve"> 遗传算法（GA）运行流程图</w:t>
      </w:r>
    </w:p>
    <w:p w14:paraId="292E54F8">
      <w:pPr>
        <w:spacing w:before="156" w:beforeLines="50" w:after="156" w:afterLines="50"/>
        <w:ind w:firstLine="420" w:firstLineChars="0"/>
        <w:jc w:val="left"/>
        <w:outlineLvl w:val="9"/>
        <w:rPr>
          <w:rFonts w:hint="eastAsia"/>
          <w:szCs w:val="21"/>
        </w:rPr>
      </w:pPr>
      <w:r>
        <w:rPr>
          <w:rFonts w:hint="eastAsia"/>
          <w:szCs w:val="21"/>
        </w:rPr>
        <w:t>这种算法通过模拟自然选择、基因重组和突变等生物进化特征，实现了对复杂优化问题的高效求解。其核心优势在于能够有效平衡全局探索和局部开发，避免陷入局部最优。</w:t>
      </w:r>
    </w:p>
    <w:p w14:paraId="4F823D04">
      <w:pPr>
        <w:pStyle w:val="5"/>
        <w:spacing w:before="156" w:beforeLines="50" w:after="156" w:afterLines="50"/>
        <w:ind w:firstLine="420" w:firstLineChars="0"/>
        <w:jc w:val="center"/>
        <w:outlineLvl w:val="9"/>
        <w:rPr>
          <w:rFonts w:hint="default"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 xml:space="preserve">表 </w:t>
      </w:r>
      <w:r>
        <w:rPr>
          <w:rFonts w:hint="eastAsia" w:ascii="Times New Roman" w:hAnsi="Times New Roman" w:eastAsia="宋体" w:cs="Times New Roman"/>
          <w:kern w:val="2"/>
          <w:sz w:val="18"/>
          <w:szCs w:val="18"/>
          <w:lang w:val="en-US" w:eastAsia="zh-CN" w:bidi="ar-SA"/>
        </w:rPr>
        <w:fldChar w:fldCharType="begin"/>
      </w:r>
      <w:r>
        <w:rPr>
          <w:rFonts w:hint="eastAsia" w:ascii="Times New Roman" w:hAnsi="Times New Roman" w:eastAsia="宋体" w:cs="Times New Roman"/>
          <w:kern w:val="2"/>
          <w:sz w:val="18"/>
          <w:szCs w:val="18"/>
          <w:lang w:val="en-US" w:eastAsia="zh-CN" w:bidi="ar-SA"/>
        </w:rPr>
        <w:instrText xml:space="preserve"> SEQ 表 \* ARABIC </w:instrText>
      </w:r>
      <w:r>
        <w:rPr>
          <w:rFonts w:hint="eastAsia" w:ascii="Times New Roman" w:hAnsi="Times New Roman" w:eastAsia="宋体" w:cs="Times New Roman"/>
          <w:kern w:val="2"/>
          <w:sz w:val="18"/>
          <w:szCs w:val="18"/>
          <w:lang w:val="en-US" w:eastAsia="zh-CN" w:bidi="ar-SA"/>
        </w:rPr>
        <w:fldChar w:fldCharType="separate"/>
      </w:r>
      <w:r>
        <w:rPr>
          <w:rFonts w:hint="eastAsia" w:ascii="Times New Roman" w:hAnsi="Times New Roman" w:eastAsia="宋体" w:cs="Times New Roman"/>
          <w:kern w:val="2"/>
          <w:sz w:val="18"/>
          <w:szCs w:val="18"/>
          <w:lang w:val="en-US" w:eastAsia="zh-CN" w:bidi="ar-SA"/>
        </w:rPr>
        <w:t>1</w:t>
      </w:r>
      <w:r>
        <w:rPr>
          <w:rFonts w:hint="eastAsia" w:ascii="Times New Roman" w:hAnsi="Times New Roman" w:eastAsia="宋体" w:cs="Times New Roman"/>
          <w:kern w:val="2"/>
          <w:sz w:val="18"/>
          <w:szCs w:val="18"/>
          <w:lang w:val="en-US" w:eastAsia="zh-CN" w:bidi="ar-SA"/>
        </w:rPr>
        <w:fldChar w:fldCharType="end"/>
      </w:r>
      <w:r>
        <w:rPr>
          <w:rFonts w:hint="eastAsia" w:ascii="Times New Roman" w:hAnsi="Times New Roman" w:eastAsia="宋体" w:cs="Times New Roman"/>
          <w:kern w:val="2"/>
          <w:sz w:val="18"/>
          <w:szCs w:val="18"/>
          <w:lang w:val="en-US" w:eastAsia="zh-CN" w:bidi="ar-SA"/>
        </w:rPr>
        <w:t xml:space="preserve"> 术语映射表</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38A52F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l2br w:val="nil"/>
            </w:tcBorders>
            <w:shd w:val="clear" w:color="auto" w:fill="FFFFFF"/>
          </w:tcPr>
          <w:p w14:paraId="318E066D">
            <w:pPr>
              <w:jc w:val="center"/>
              <w:rPr>
                <w:rFonts w:hint="default"/>
                <w:b w:val="0"/>
                <w:color w:val="000000"/>
                <w:sz w:val="18"/>
                <w:szCs w:val="18"/>
                <w:lang w:val="en-US" w:eastAsia="zh-CN"/>
              </w:rPr>
            </w:pPr>
            <w:r>
              <w:rPr>
                <w:rFonts w:hint="eastAsia"/>
                <w:b w:val="0"/>
                <w:color w:val="000000"/>
                <w:sz w:val="18"/>
                <w:szCs w:val="18"/>
                <w:lang w:val="en-US" w:eastAsia="zh-CN"/>
              </w:rPr>
              <w:t>术语</w:t>
            </w:r>
          </w:p>
        </w:tc>
        <w:tc>
          <w:tcPr>
            <w:tcW w:w="2841" w:type="dxa"/>
            <w:tcBorders>
              <w:top w:val="single" w:color="000000" w:sz="4" w:space="0"/>
              <w:left w:val="single" w:color="000000" w:sz="4" w:space="0"/>
              <w:bottom w:val="single" w:color="000000" w:sz="4" w:space="0"/>
              <w:right w:val="single" w:color="000000" w:sz="4" w:space="0"/>
            </w:tcBorders>
            <w:shd w:val="clear" w:color="auto" w:fill="FFFFFF"/>
          </w:tcPr>
          <w:p w14:paraId="57CAA084">
            <w:pPr>
              <w:jc w:val="center"/>
              <w:rPr>
                <w:rFonts w:hint="default"/>
                <w:b w:val="0"/>
                <w:color w:val="000000"/>
                <w:sz w:val="18"/>
                <w:szCs w:val="18"/>
                <w:lang w:val="en-US" w:eastAsia="zh-CN"/>
              </w:rPr>
            </w:pPr>
            <w:r>
              <w:rPr>
                <w:rFonts w:hint="eastAsia"/>
                <w:b w:val="0"/>
                <w:color w:val="000000"/>
                <w:sz w:val="18"/>
                <w:szCs w:val="18"/>
                <w:lang w:val="en-US" w:eastAsia="zh-CN"/>
              </w:rPr>
              <w:t>原意义</w:t>
            </w:r>
          </w:p>
        </w:tc>
        <w:tc>
          <w:tcPr>
            <w:tcW w:w="2841" w:type="dxa"/>
            <w:tcBorders>
              <w:top w:val="single" w:color="000000" w:sz="4" w:space="0"/>
              <w:left w:val="single" w:color="000000" w:sz="4" w:space="0"/>
              <w:bottom w:val="single" w:color="000000" w:sz="4" w:space="0"/>
              <w:right w:val="single" w:color="000000" w:sz="4" w:space="0"/>
            </w:tcBorders>
            <w:shd w:val="clear" w:color="auto" w:fill="FFFFFF"/>
          </w:tcPr>
          <w:p w14:paraId="76504BBA">
            <w:pPr>
              <w:jc w:val="center"/>
              <w:rPr>
                <w:rFonts w:hint="default"/>
                <w:b w:val="0"/>
                <w:color w:val="000000"/>
                <w:sz w:val="18"/>
                <w:szCs w:val="18"/>
                <w:lang w:val="en-US" w:eastAsia="zh-CN"/>
              </w:rPr>
            </w:pPr>
            <w:r>
              <w:rPr>
                <w:rFonts w:hint="eastAsia"/>
                <w:b w:val="0"/>
                <w:color w:val="000000"/>
                <w:sz w:val="18"/>
                <w:szCs w:val="18"/>
                <w:lang w:val="en-US" w:eastAsia="zh-CN"/>
              </w:rPr>
              <w:t>问题中的意义</w:t>
            </w:r>
          </w:p>
        </w:tc>
      </w:tr>
      <w:tr w14:paraId="2F6D0A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734C1E3">
            <w:pPr>
              <w:jc w:val="center"/>
              <w:rPr>
                <w:rFonts w:hint="default"/>
                <w:b w:val="0"/>
                <w:color w:val="000000"/>
                <w:sz w:val="18"/>
                <w:szCs w:val="18"/>
                <w:lang w:val="en-US" w:eastAsia="zh-CN"/>
              </w:rPr>
            </w:pPr>
            <w:r>
              <w:rPr>
                <w:rFonts w:hint="eastAsia"/>
                <w:b w:val="0"/>
                <w:color w:val="000000"/>
                <w:sz w:val="18"/>
                <w:szCs w:val="18"/>
                <w:lang w:val="en-US" w:eastAsia="zh-CN"/>
              </w:rPr>
              <w:t>基因</w:t>
            </w:r>
          </w:p>
        </w:tc>
        <w:tc>
          <w:tcPr>
            <w:tcW w:w="2841"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AD98DE7">
            <w:pPr>
              <w:jc w:val="center"/>
              <w:rPr>
                <w:rFonts w:hint="eastAsia"/>
                <w:b w:val="0"/>
                <w:color w:val="000000"/>
                <w:sz w:val="18"/>
                <w:szCs w:val="18"/>
                <w:lang w:val="en-US" w:eastAsia="zh-CN"/>
              </w:rPr>
            </w:pPr>
            <w:r>
              <w:rPr>
                <w:rFonts w:hint="default"/>
                <w:b w:val="0"/>
                <w:color w:val="000000"/>
                <w:sz w:val="18"/>
                <w:szCs w:val="18"/>
                <w:lang w:val="en-US" w:eastAsia="zh-CN"/>
              </w:rPr>
              <w:t>一个单独的、不可分割的遗传因子</w:t>
            </w:r>
          </w:p>
        </w:tc>
        <w:tc>
          <w:tcPr>
            <w:tcW w:w="2841"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39C2C82">
            <w:pPr>
              <w:jc w:val="center"/>
              <w:rPr>
                <w:rFonts w:hint="eastAsia"/>
                <w:b w:val="0"/>
                <w:color w:val="000000"/>
                <w:sz w:val="18"/>
                <w:szCs w:val="18"/>
                <w:lang w:val="en-US" w:eastAsia="zh-CN"/>
              </w:rPr>
            </w:pPr>
            <w:r>
              <w:rPr>
                <w:b w:val="0"/>
                <w:color w:val="000000"/>
                <w:sz w:val="18"/>
                <w:szCs w:val="18"/>
              </w:rPr>
              <w:t>对应一个具体的客户或一个具体的访问位置</w:t>
            </w:r>
          </w:p>
        </w:tc>
      </w:tr>
      <w:tr w14:paraId="376A57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F352EF5">
            <w:pPr>
              <w:jc w:val="center"/>
              <w:rPr>
                <w:rFonts w:hint="default"/>
                <w:b w:val="0"/>
                <w:color w:val="000000"/>
                <w:sz w:val="18"/>
                <w:szCs w:val="18"/>
                <w:lang w:val="en-US" w:eastAsia="zh-CN"/>
              </w:rPr>
            </w:pPr>
            <w:r>
              <w:rPr>
                <w:rFonts w:hint="eastAsia"/>
                <w:b w:val="0"/>
                <w:color w:val="000000"/>
                <w:sz w:val="18"/>
                <w:szCs w:val="18"/>
                <w:lang w:val="en-US" w:eastAsia="zh-CN"/>
              </w:rPr>
              <w:t>染色体</w:t>
            </w:r>
          </w:p>
        </w:tc>
        <w:tc>
          <w:tcPr>
            <w:tcW w:w="2841"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FEDE63B">
            <w:pPr>
              <w:jc w:val="center"/>
              <w:rPr>
                <w:rFonts w:hint="eastAsia"/>
                <w:b w:val="0"/>
                <w:color w:val="000000"/>
                <w:sz w:val="18"/>
                <w:szCs w:val="18"/>
                <w:lang w:val="en-US" w:eastAsia="zh-CN"/>
              </w:rPr>
            </w:pPr>
            <w:r>
              <w:rPr>
                <w:rFonts w:hint="default"/>
                <w:b w:val="0"/>
                <w:color w:val="000000"/>
                <w:sz w:val="18"/>
                <w:szCs w:val="18"/>
                <w:lang w:val="en-US" w:eastAsia="zh-CN"/>
              </w:rPr>
              <w:t>一组不同基因的线性排列</w:t>
            </w:r>
          </w:p>
        </w:tc>
        <w:tc>
          <w:tcPr>
            <w:tcW w:w="2841"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99F7AC2">
            <w:pPr>
              <w:jc w:val="center"/>
              <w:rPr>
                <w:rFonts w:hint="eastAsia"/>
                <w:b w:val="0"/>
                <w:color w:val="000000"/>
                <w:sz w:val="18"/>
                <w:szCs w:val="18"/>
                <w:lang w:val="en-US" w:eastAsia="zh-CN"/>
              </w:rPr>
            </w:pPr>
            <w:r>
              <w:rPr>
                <w:b w:val="0"/>
                <w:color w:val="000000"/>
                <w:sz w:val="18"/>
                <w:szCs w:val="18"/>
              </w:rPr>
              <w:t>一条染色体对应一条路径</w:t>
            </w:r>
            <w:r>
              <w:rPr>
                <w:rFonts w:hint="eastAsia"/>
                <w:b w:val="0"/>
                <w:color w:val="000000"/>
                <w:sz w:val="18"/>
                <w:szCs w:val="18"/>
                <w:lang w:eastAsia="zh-CN"/>
              </w:rPr>
              <w:t>，</w:t>
            </w:r>
            <w:r>
              <w:rPr>
                <w:b w:val="0"/>
                <w:color w:val="000000"/>
                <w:sz w:val="18"/>
                <w:szCs w:val="18"/>
              </w:rPr>
              <w:t>定义了车辆的行驶路线</w:t>
            </w:r>
          </w:p>
        </w:tc>
      </w:tr>
      <w:tr w14:paraId="56CFB4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0A2A44B">
            <w:pPr>
              <w:jc w:val="center"/>
              <w:rPr>
                <w:rFonts w:hint="default"/>
                <w:b w:val="0"/>
                <w:color w:val="000000"/>
                <w:sz w:val="18"/>
                <w:szCs w:val="18"/>
                <w:lang w:val="en-US" w:eastAsia="zh-CN"/>
              </w:rPr>
            </w:pPr>
            <w:r>
              <w:rPr>
                <w:rFonts w:hint="eastAsia"/>
                <w:b w:val="0"/>
                <w:color w:val="000000"/>
                <w:sz w:val="18"/>
                <w:szCs w:val="18"/>
                <w:lang w:val="en-US" w:eastAsia="zh-CN"/>
              </w:rPr>
              <w:t>个体</w:t>
            </w:r>
          </w:p>
        </w:tc>
        <w:tc>
          <w:tcPr>
            <w:tcW w:w="2841"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5D8386F7">
            <w:pPr>
              <w:jc w:val="center"/>
              <w:rPr>
                <w:rFonts w:hint="eastAsia"/>
                <w:b w:val="0"/>
                <w:color w:val="000000"/>
                <w:sz w:val="18"/>
                <w:szCs w:val="18"/>
                <w:lang w:val="en-US" w:eastAsia="zh-CN"/>
              </w:rPr>
            </w:pPr>
            <w:r>
              <w:rPr>
                <w:rFonts w:hint="default"/>
                <w:b w:val="0"/>
                <w:color w:val="000000"/>
                <w:sz w:val="18"/>
                <w:szCs w:val="18"/>
                <w:lang w:val="en-US" w:eastAsia="zh-CN"/>
              </w:rPr>
              <w:t>一个独立的生物体</w:t>
            </w:r>
          </w:p>
        </w:tc>
        <w:tc>
          <w:tcPr>
            <w:tcW w:w="2841"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3815C0EF">
            <w:pPr>
              <w:jc w:val="center"/>
              <w:rPr>
                <w:rFonts w:hint="eastAsia"/>
                <w:b w:val="0"/>
                <w:color w:val="000000"/>
                <w:sz w:val="18"/>
                <w:szCs w:val="18"/>
                <w:lang w:val="en-US" w:eastAsia="zh-CN"/>
              </w:rPr>
            </w:pPr>
            <w:r>
              <w:rPr>
                <w:b w:val="0"/>
                <w:color w:val="000000"/>
                <w:sz w:val="18"/>
                <w:szCs w:val="18"/>
              </w:rPr>
              <w:t>一个可能的车辆调度方案</w:t>
            </w:r>
            <w:r>
              <w:rPr>
                <w:rFonts w:hint="eastAsia"/>
                <w:b w:val="0"/>
                <w:color w:val="000000"/>
                <w:sz w:val="18"/>
                <w:szCs w:val="18"/>
                <w:lang w:eastAsia="zh-CN"/>
              </w:rPr>
              <w:t>，</w:t>
            </w:r>
            <w:r>
              <w:rPr>
                <w:b w:val="0"/>
                <w:color w:val="000000"/>
                <w:sz w:val="18"/>
                <w:szCs w:val="18"/>
              </w:rPr>
              <w:t>包含若干条路径</w:t>
            </w:r>
            <w:r>
              <w:rPr>
                <w:rFonts w:hint="eastAsia"/>
                <w:b w:val="0"/>
                <w:color w:val="000000"/>
                <w:sz w:val="18"/>
                <w:szCs w:val="18"/>
                <w:lang w:eastAsia="zh-CN"/>
              </w:rPr>
              <w:t>，</w:t>
            </w:r>
            <w:r>
              <w:rPr>
                <w:b w:val="0"/>
                <w:color w:val="000000"/>
                <w:sz w:val="18"/>
                <w:szCs w:val="18"/>
              </w:rPr>
              <w:t>每条路径表示一辆车的行驶路线</w:t>
            </w:r>
          </w:p>
        </w:tc>
      </w:tr>
      <w:tr w14:paraId="5A8441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6419422F">
            <w:pPr>
              <w:jc w:val="center"/>
              <w:rPr>
                <w:rFonts w:hint="default"/>
                <w:b w:val="0"/>
                <w:color w:val="000000"/>
                <w:sz w:val="18"/>
                <w:szCs w:val="18"/>
                <w:lang w:val="en-US" w:eastAsia="zh-CN"/>
              </w:rPr>
            </w:pPr>
            <w:r>
              <w:rPr>
                <w:rFonts w:hint="eastAsia"/>
                <w:b w:val="0"/>
                <w:color w:val="000000"/>
                <w:sz w:val="18"/>
                <w:szCs w:val="18"/>
                <w:lang w:val="en-US" w:eastAsia="zh-CN"/>
              </w:rPr>
              <w:t>适应度</w:t>
            </w:r>
          </w:p>
        </w:tc>
        <w:tc>
          <w:tcPr>
            <w:tcW w:w="2841"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0357AB4">
            <w:pPr>
              <w:jc w:val="center"/>
              <w:rPr>
                <w:rFonts w:hint="eastAsia"/>
                <w:b w:val="0"/>
                <w:color w:val="000000"/>
                <w:sz w:val="18"/>
                <w:szCs w:val="18"/>
                <w:lang w:val="en-US" w:eastAsia="zh-CN"/>
              </w:rPr>
            </w:pPr>
            <w:r>
              <w:rPr>
                <w:rFonts w:hint="default"/>
                <w:b w:val="0"/>
                <w:color w:val="000000"/>
                <w:sz w:val="18"/>
                <w:szCs w:val="18"/>
                <w:lang w:val="en-US" w:eastAsia="zh-CN"/>
              </w:rPr>
              <w:t>个体对环境的适应程度</w:t>
            </w:r>
          </w:p>
        </w:tc>
        <w:tc>
          <w:tcPr>
            <w:tcW w:w="2841"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287FDE76">
            <w:pPr>
              <w:jc w:val="center"/>
              <w:rPr>
                <w:rFonts w:hint="eastAsia"/>
                <w:b w:val="0"/>
                <w:color w:val="000000"/>
                <w:sz w:val="18"/>
                <w:szCs w:val="18"/>
                <w:lang w:val="en-US" w:eastAsia="zh-CN"/>
              </w:rPr>
            </w:pPr>
            <w:r>
              <w:rPr>
                <w:rFonts w:hint="eastAsia"/>
                <w:b w:val="0"/>
                <w:color w:val="000000"/>
                <w:sz w:val="18"/>
                <w:szCs w:val="18"/>
                <w:lang w:val="en-US" w:eastAsia="zh-CN"/>
              </w:rPr>
              <w:t>原问题目标函数的倒数</w:t>
            </w:r>
          </w:p>
        </w:tc>
      </w:tr>
    </w:tbl>
    <w:p w14:paraId="52199D5A">
      <w:pPr>
        <w:jc w:val="both"/>
        <w:rPr>
          <w:rFonts w:hint="eastAsia"/>
          <w:sz w:val="18"/>
          <w:szCs w:val="18"/>
        </w:rPr>
      </w:pPr>
    </w:p>
    <w:p w14:paraId="4888A1EF">
      <w:pPr>
        <w:spacing w:before="156" w:beforeLines="50" w:after="156" w:afterLines="50"/>
        <w:ind w:firstLine="420" w:firstLineChars="0"/>
        <w:jc w:val="left"/>
        <w:outlineLvl w:val="9"/>
        <w:rPr>
          <w:rFonts w:hint="eastAsia"/>
          <w:szCs w:val="21"/>
        </w:rPr>
      </w:pPr>
      <w:r>
        <w:rPr>
          <w:rFonts w:hint="eastAsia"/>
          <w:szCs w:val="21"/>
        </w:rPr>
        <w:t>为了验证K-MEANS-GA算法在车辆路径问题（VRP）中的有效性，本研究</w:t>
      </w:r>
      <w:r>
        <w:rPr>
          <w:rFonts w:hint="eastAsia"/>
          <w:szCs w:val="21"/>
          <w:lang w:val="en-US" w:eastAsia="zh-CN"/>
        </w:rPr>
        <w:t>通过设定随机种子，</w:t>
      </w:r>
      <w:r>
        <w:rPr>
          <w:rFonts w:hint="eastAsia"/>
          <w:szCs w:val="21"/>
        </w:rPr>
        <w:t>随机抽取了</w:t>
      </w:r>
      <w:r>
        <w:rPr>
          <w:rFonts w:hint="eastAsia"/>
          <w:szCs w:val="21"/>
          <w:lang w:val="en-US" w:eastAsia="zh-CN"/>
        </w:rPr>
        <w:t>100</w:t>
      </w:r>
      <w:r>
        <w:rPr>
          <w:rFonts w:hint="eastAsia"/>
          <w:szCs w:val="21"/>
        </w:rPr>
        <w:t>个数据点进行测试。利用K-MEANS聚类结合遗传算法（GA）求解VRP问题，得到的适应度结果如</w:t>
      </w:r>
      <w:r>
        <w:rPr>
          <w:rFonts w:hint="eastAsia"/>
          <w:szCs w:val="21"/>
          <w:lang w:eastAsia="zh-CN"/>
        </w:rPr>
        <w:t>“</w:t>
      </w:r>
      <w:r>
        <w:rPr>
          <w:rFonts w:hint="eastAsia"/>
          <w:szCs w:val="21"/>
        </w:rPr>
        <w:t>表1</w:t>
      </w:r>
      <w:r>
        <w:rPr>
          <w:rFonts w:hint="eastAsia"/>
          <w:szCs w:val="21"/>
          <w:lang w:eastAsia="zh-CN"/>
        </w:rPr>
        <w:t>——</w:t>
      </w:r>
      <w:r>
        <w:rPr>
          <w:rFonts w:hint="eastAsia"/>
          <w:szCs w:val="21"/>
          <w:lang w:val="en-US" w:eastAsia="zh-CN"/>
        </w:rPr>
        <w:t>遗传算法（GA）适应度</w:t>
      </w:r>
      <w:r>
        <w:rPr>
          <w:rFonts w:hint="eastAsia"/>
          <w:szCs w:val="21"/>
          <w:lang w:eastAsia="zh-CN"/>
        </w:rPr>
        <w:t>”</w:t>
      </w:r>
      <w:r>
        <w:rPr>
          <w:rFonts w:hint="eastAsia"/>
          <w:szCs w:val="21"/>
        </w:rPr>
        <w:t>所示。</w:t>
      </w:r>
      <w:bookmarkEnd w:id="102"/>
      <w:bookmarkEnd w:id="103"/>
    </w:p>
    <w:p w14:paraId="787C99DD">
      <w:pPr>
        <w:spacing w:before="156" w:beforeLines="50" w:after="156" w:afterLines="50"/>
        <w:ind w:firstLine="420" w:firstLineChars="0"/>
        <w:jc w:val="left"/>
        <w:outlineLvl w:val="9"/>
        <w:rPr>
          <w:rFonts w:hint="eastAsia" w:eastAsia="宋体"/>
          <w:szCs w:val="21"/>
          <w:lang w:val="en-US" w:eastAsia="zh-CN"/>
        </w:rPr>
      </w:pPr>
      <w:bookmarkStart w:id="104" w:name="_Toc15018"/>
      <w:bookmarkStart w:id="105" w:name="_Toc13156"/>
      <w:r>
        <w:rPr>
          <w:rFonts w:hint="eastAsia" w:eastAsia="宋体"/>
          <w:szCs w:val="21"/>
          <w:lang w:val="en-US" w:eastAsia="zh-CN"/>
        </w:rPr>
        <w:t>此外，根据不同配送区域划分后，算法的迭代适应度变化如图2所示。从图中可以观察到，随着迭代次数的增加，适应度值逐渐提高，表明算法正在逐步找到更优的路径。具体来说，当迭代次数达到50次后，算法开始表现出收敛趋势，适应度值的提升速度放缓，说明算法已经接近最优解。</w:t>
      </w:r>
      <w:bookmarkEnd w:id="104"/>
      <w:bookmarkEnd w:id="105"/>
    </w:p>
    <w:p w14:paraId="036562C1">
      <w:pPr>
        <w:spacing w:before="156" w:beforeLines="50" w:after="156" w:afterLines="50"/>
        <w:jc w:val="both"/>
        <w:outlineLvl w:val="9"/>
        <w:rPr>
          <w:rFonts w:hint="eastAsia" w:eastAsia="宋体"/>
          <w:szCs w:val="21"/>
          <w:lang w:val="en-US" w:eastAsia="zh-CN"/>
        </w:rPr>
      </w:pPr>
      <w:bookmarkStart w:id="106" w:name="_Toc16603"/>
      <w:r>
        <w:rPr>
          <w:rFonts w:hint="eastAsia" w:eastAsia="宋体"/>
          <w:szCs w:val="21"/>
          <w:lang w:val="en-US" w:eastAsia="zh-CN"/>
        </w:rPr>
        <w:drawing>
          <wp:inline distT="0" distB="0" distL="114300" distR="114300">
            <wp:extent cx="5266055" cy="3489960"/>
            <wp:effectExtent l="0" t="0" r="698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9"/>
                    <a:stretch>
                      <a:fillRect/>
                    </a:stretch>
                  </pic:blipFill>
                  <pic:spPr>
                    <a:xfrm>
                      <a:off x="0" y="0"/>
                      <a:ext cx="5266055" cy="3489960"/>
                    </a:xfrm>
                    <a:prstGeom prst="rect">
                      <a:avLst/>
                    </a:prstGeom>
                    <a:noFill/>
                    <a:ln>
                      <a:noFill/>
                    </a:ln>
                  </pic:spPr>
                </pic:pic>
              </a:graphicData>
            </a:graphic>
          </wp:inline>
        </w:drawing>
      </w:r>
      <w:bookmarkEnd w:id="106"/>
    </w:p>
    <w:p w14:paraId="42C2A532">
      <w:pPr>
        <w:pStyle w:val="5"/>
        <w:spacing w:before="156" w:beforeLines="50" w:after="156" w:afterLines="50"/>
        <w:ind w:firstLine="420" w:firstLineChars="0"/>
        <w:jc w:val="center"/>
        <w:outlineLvl w:val="9"/>
        <w:rPr>
          <w:rFonts w:hint="default" w:ascii="Times New Roman" w:hAnsi="Times New Roman" w:eastAsia="宋体" w:cs="Times New Roman"/>
          <w:kern w:val="2"/>
          <w:sz w:val="18"/>
          <w:szCs w:val="18"/>
          <w:lang w:val="en-US" w:eastAsia="zh-CN" w:bidi="ar-SA"/>
        </w:rPr>
      </w:pPr>
      <w:r>
        <w:rPr>
          <w:rFonts w:ascii="Times New Roman" w:hAnsi="Times New Roman" w:eastAsia="宋体" w:cs="Times New Roman"/>
          <w:kern w:val="2"/>
          <w:sz w:val="18"/>
          <w:szCs w:val="18"/>
          <w:lang w:val="en-US" w:eastAsia="zh-CN" w:bidi="ar-SA"/>
        </w:rPr>
        <w:t xml:space="preserve">图 </w:t>
      </w:r>
      <w:r>
        <w:rPr>
          <w:rFonts w:ascii="Times New Roman" w:hAnsi="Times New Roman" w:eastAsia="宋体" w:cs="Times New Roman"/>
          <w:kern w:val="2"/>
          <w:sz w:val="18"/>
          <w:szCs w:val="18"/>
          <w:lang w:val="en-US" w:eastAsia="zh-CN" w:bidi="ar-SA"/>
        </w:rPr>
        <w:fldChar w:fldCharType="begin"/>
      </w:r>
      <w:r>
        <w:rPr>
          <w:rFonts w:ascii="Times New Roman" w:hAnsi="Times New Roman" w:eastAsia="宋体" w:cs="Times New Roman"/>
          <w:kern w:val="2"/>
          <w:sz w:val="18"/>
          <w:szCs w:val="18"/>
          <w:lang w:val="en-US" w:eastAsia="zh-CN" w:bidi="ar-SA"/>
        </w:rPr>
        <w:instrText xml:space="preserve"> SEQ 图 \* ARABIC </w:instrText>
      </w:r>
      <w:r>
        <w:rPr>
          <w:rFonts w:ascii="Times New Roman" w:hAnsi="Times New Roman" w:eastAsia="宋体" w:cs="Times New Roman"/>
          <w:kern w:val="2"/>
          <w:sz w:val="18"/>
          <w:szCs w:val="18"/>
          <w:lang w:val="en-US" w:eastAsia="zh-CN" w:bidi="ar-SA"/>
        </w:rPr>
        <w:fldChar w:fldCharType="separate"/>
      </w:r>
      <w:r>
        <w:rPr>
          <w:rFonts w:ascii="Times New Roman" w:hAnsi="Times New Roman" w:eastAsia="宋体" w:cs="Times New Roman"/>
          <w:kern w:val="2"/>
          <w:sz w:val="18"/>
          <w:szCs w:val="18"/>
          <w:lang w:val="en-US" w:eastAsia="zh-CN" w:bidi="ar-SA"/>
        </w:rPr>
        <w:t>3</w:t>
      </w:r>
      <w:r>
        <w:rPr>
          <w:rFonts w:ascii="Times New Roman" w:hAnsi="Times New Roman" w:eastAsia="宋体" w:cs="Times New Roman"/>
          <w:kern w:val="2"/>
          <w:sz w:val="18"/>
          <w:szCs w:val="18"/>
          <w:lang w:val="en-US" w:eastAsia="zh-CN" w:bidi="ar-SA"/>
        </w:rPr>
        <w:fldChar w:fldCharType="end"/>
      </w:r>
      <w:r>
        <w:rPr>
          <w:rFonts w:hint="eastAsia" w:ascii="Times New Roman" w:hAnsi="Times New Roman" w:eastAsia="宋体" w:cs="Times New Roman"/>
          <w:kern w:val="2"/>
          <w:sz w:val="18"/>
          <w:szCs w:val="18"/>
          <w:lang w:val="en-US" w:eastAsia="zh-CN" w:bidi="ar-SA"/>
        </w:rPr>
        <w:t xml:space="preserve"> 不同配送中心的适应度变化</w:t>
      </w:r>
    </w:p>
    <w:p w14:paraId="216DE153">
      <w:pPr>
        <w:spacing w:before="156" w:beforeLines="50" w:after="156" w:afterLines="50"/>
        <w:outlineLvl w:val="1"/>
        <w:rPr>
          <w:rFonts w:hint="eastAsia" w:eastAsia="黑体"/>
          <w:b/>
          <w:bCs/>
          <w:sz w:val="28"/>
          <w:szCs w:val="28"/>
          <w:lang w:val="en-US" w:eastAsia="zh-CN"/>
        </w:rPr>
      </w:pPr>
      <w:bookmarkStart w:id="107" w:name="_Toc22412"/>
      <w:bookmarkStart w:id="108" w:name="_Toc21041"/>
      <w:bookmarkStart w:id="109" w:name="_Toc16269"/>
      <w:r>
        <w:rPr>
          <w:rFonts w:hint="eastAsia" w:eastAsia="黑体"/>
          <w:b/>
          <w:bCs/>
          <w:sz w:val="28"/>
          <w:szCs w:val="28"/>
          <w:lang w:val="en-US" w:eastAsia="zh-CN"/>
        </w:rPr>
        <w:t>4.2 稳定性分析</w:t>
      </w:r>
      <w:bookmarkEnd w:id="107"/>
    </w:p>
    <w:p w14:paraId="7541B8FC">
      <w:pPr>
        <w:bidi w:val="0"/>
        <w:rPr>
          <w:rFonts w:hint="eastAsia"/>
          <w:szCs w:val="21"/>
        </w:rPr>
      </w:pPr>
      <w:r>
        <w:rPr>
          <w:rFonts w:hint="eastAsia"/>
          <w:lang w:val="en-US" w:eastAsia="zh-CN"/>
        </w:rPr>
        <w:tab/>
      </w:r>
      <w:r>
        <w:rPr>
          <w:rFonts w:hint="eastAsia"/>
          <w:szCs w:val="21"/>
        </w:rPr>
        <w:t xml:space="preserve">在实验过程中，我们分别运行 </w:t>
      </w:r>
      <w:r>
        <w:rPr>
          <w:rFonts w:hint="eastAsia"/>
          <w:szCs w:val="21"/>
          <w:lang w:val="en-US" w:eastAsia="zh-CN"/>
        </w:rPr>
        <w:t>1</w:t>
      </w:r>
      <w:r>
        <w:rPr>
          <w:rFonts w:hint="eastAsia"/>
          <w:szCs w:val="21"/>
        </w:rPr>
        <w:t>0 次独立实验，每次实验都从相同的数据集开始，但初始化的种群和簇心可能不同。记录每次实验的最终适应度值，计算其均值和标准差，并绘制箱线图，</w:t>
      </w:r>
      <w:r>
        <w:rPr>
          <w:rFonts w:hint="eastAsia"/>
          <w:szCs w:val="21"/>
          <w:lang w:val="en-US" w:eastAsia="zh-CN"/>
        </w:rPr>
        <w:t>从下图3中可以</w:t>
      </w:r>
      <w:r>
        <w:rPr>
          <w:rFonts w:hint="eastAsia"/>
          <w:szCs w:val="21"/>
        </w:rPr>
        <w:t>观察结果的离散程度。</w:t>
      </w:r>
    </w:p>
    <w:p w14:paraId="304788AC">
      <w:pPr>
        <w:bidi w:val="0"/>
        <w:jc w:val="left"/>
      </w:pPr>
      <w:r>
        <w:drawing>
          <wp:inline distT="0" distB="0" distL="114300" distR="114300">
            <wp:extent cx="5269865" cy="3373120"/>
            <wp:effectExtent l="0" t="0" r="3175" b="1016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20"/>
                    <a:stretch>
                      <a:fillRect/>
                    </a:stretch>
                  </pic:blipFill>
                  <pic:spPr>
                    <a:xfrm>
                      <a:off x="0" y="0"/>
                      <a:ext cx="5269865" cy="3373120"/>
                    </a:xfrm>
                    <a:prstGeom prst="rect">
                      <a:avLst/>
                    </a:prstGeom>
                    <a:noFill/>
                    <a:ln>
                      <a:noFill/>
                    </a:ln>
                  </pic:spPr>
                </pic:pic>
              </a:graphicData>
            </a:graphic>
          </wp:inline>
        </w:drawing>
      </w:r>
    </w:p>
    <w:p w14:paraId="0DB80E55">
      <w:pPr>
        <w:spacing w:line="400" w:lineRule="exact"/>
        <w:jc w:val="center"/>
        <w:rPr>
          <w:rFonts w:hint="default" w:eastAsia="宋体"/>
          <w:sz w:val="18"/>
          <w:szCs w:val="18"/>
          <w:lang w:val="en-US" w:eastAsia="zh-CN"/>
        </w:rPr>
      </w:pPr>
      <w:r>
        <w:rPr>
          <w:sz w:val="18"/>
          <w:szCs w:val="18"/>
        </w:rPr>
        <w:t xml:space="preserve">图 </w:t>
      </w:r>
      <w:r>
        <w:rPr>
          <w:sz w:val="18"/>
          <w:szCs w:val="18"/>
        </w:rPr>
        <w:fldChar w:fldCharType="begin"/>
      </w:r>
      <w:r>
        <w:rPr>
          <w:sz w:val="18"/>
          <w:szCs w:val="18"/>
        </w:rPr>
        <w:instrText xml:space="preserve"> SEQ 图 \* ARABIC </w:instrText>
      </w:r>
      <w:r>
        <w:rPr>
          <w:sz w:val="18"/>
          <w:szCs w:val="18"/>
        </w:rPr>
        <w:fldChar w:fldCharType="separate"/>
      </w:r>
      <w:r>
        <w:rPr>
          <w:sz w:val="18"/>
          <w:szCs w:val="18"/>
        </w:rPr>
        <w:t>4</w:t>
      </w:r>
      <w:r>
        <w:rPr>
          <w:sz w:val="18"/>
          <w:szCs w:val="18"/>
        </w:rPr>
        <w:fldChar w:fldCharType="end"/>
      </w:r>
      <w:r>
        <w:rPr>
          <w:rFonts w:hint="eastAsia"/>
          <w:sz w:val="18"/>
          <w:szCs w:val="18"/>
          <w:lang w:val="en-US" w:eastAsia="zh-CN"/>
        </w:rPr>
        <w:t xml:space="preserve"> 不同簇的适应度分布（箱型图）</w:t>
      </w:r>
    </w:p>
    <w:p w14:paraId="44E24188">
      <w:pPr>
        <w:pStyle w:val="12"/>
        <w:keepNext w:val="0"/>
        <w:keepLines w:val="0"/>
        <w:widowControl/>
        <w:suppressLineNumbers w:val="0"/>
        <w:spacing w:before="0" w:beforeAutospacing="1" w:after="0" w:afterAutospacing="1"/>
        <w:ind w:left="0" w:right="0" w:firstLine="420" w:firstLineChars="0"/>
        <w:rPr>
          <w:rFonts w:hint="eastAsia"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本实验结果表明，</w:t>
      </w:r>
      <w:r>
        <w:rPr>
          <w:rFonts w:hint="eastAsia" w:cs="Times New Roman"/>
          <w:kern w:val="2"/>
          <w:sz w:val="21"/>
          <w:szCs w:val="21"/>
          <w:lang w:val="en-US" w:eastAsia="zh-CN" w:bidi="ar-SA"/>
        </w:rPr>
        <w:t>K-Means-GA</w:t>
      </w:r>
      <w:r>
        <w:rPr>
          <w:rFonts w:hint="eastAsia" w:ascii="Times New Roman" w:hAnsi="Times New Roman" w:eastAsia="宋体" w:cs="Times New Roman"/>
          <w:kern w:val="2"/>
          <w:sz w:val="21"/>
          <w:szCs w:val="21"/>
          <w:lang w:val="en-US" w:eastAsia="zh-CN" w:bidi="ar-SA"/>
        </w:rPr>
        <w:t>算法在求解</w:t>
      </w:r>
      <w:r>
        <w:rPr>
          <w:rFonts w:hint="eastAsia" w:cs="Times New Roman"/>
          <w:kern w:val="2"/>
          <w:sz w:val="21"/>
          <w:szCs w:val="21"/>
          <w:lang w:val="en-US" w:eastAsia="zh-CN" w:bidi="ar-SA"/>
        </w:rPr>
        <w:t>VRP</w:t>
      </w:r>
      <w:r>
        <w:rPr>
          <w:rFonts w:hint="eastAsia" w:ascii="Times New Roman" w:hAnsi="Times New Roman" w:eastAsia="宋体" w:cs="Times New Roman"/>
          <w:kern w:val="2"/>
          <w:sz w:val="21"/>
          <w:szCs w:val="21"/>
          <w:lang w:val="en-US" w:eastAsia="zh-CN" w:bidi="ar-SA"/>
        </w:rPr>
        <w:t>问题时，能够保持较高的稳定性，尤其是在</w:t>
      </w:r>
      <w:r>
        <w:rPr>
          <w:rFonts w:hint="eastAsia" w:cs="Times New Roman"/>
          <w:kern w:val="2"/>
          <w:sz w:val="21"/>
          <w:szCs w:val="21"/>
          <w:lang w:val="en-US" w:eastAsia="zh-CN" w:bidi="ar-SA"/>
        </w:rPr>
        <w:t>以</w:t>
      </w:r>
      <w:r>
        <w:rPr>
          <w:rFonts w:hint="eastAsia" w:ascii="Times New Roman" w:hAnsi="Times New Roman" w:eastAsia="宋体" w:cs="Times New Roman"/>
          <w:kern w:val="2"/>
          <w:sz w:val="21"/>
          <w:szCs w:val="21"/>
          <w:lang w:val="en-US" w:eastAsia="zh-CN" w:bidi="ar-SA"/>
        </w:rPr>
        <w:t>国药物流和上药控股</w:t>
      </w:r>
      <w:r>
        <w:rPr>
          <w:rFonts w:hint="eastAsia" w:cs="Times New Roman"/>
          <w:kern w:val="2"/>
          <w:sz w:val="21"/>
          <w:szCs w:val="21"/>
          <w:lang w:val="en-US" w:eastAsia="zh-CN" w:bidi="ar-SA"/>
        </w:rPr>
        <w:t>为配送中心的数据</w:t>
      </w:r>
      <w:r>
        <w:rPr>
          <w:rFonts w:hint="eastAsia" w:ascii="Times New Roman" w:hAnsi="Times New Roman" w:eastAsia="宋体" w:cs="Times New Roman"/>
          <w:kern w:val="2"/>
          <w:sz w:val="21"/>
          <w:szCs w:val="21"/>
          <w:lang w:val="en-US" w:eastAsia="zh-CN" w:bidi="ar-SA"/>
        </w:rPr>
        <w:t>中，适应度的波动性较低，确保了优化结果在多次实验中的一致性。这种稳定性对于医疗物流调度至关重要，能够保证算法在不同初始条件下仍能找到稳定且可靠的解，提高医疗配送系统的可预测性和安全性。</w:t>
      </w:r>
      <w:r>
        <w:rPr>
          <w:rFonts w:hint="eastAsia" w:cs="Times New Roman"/>
          <w:kern w:val="2"/>
          <w:sz w:val="21"/>
          <w:szCs w:val="21"/>
          <w:lang w:val="en-US" w:eastAsia="zh-CN" w:bidi="ar-SA"/>
        </w:rPr>
        <w:t>下表1清晰地展示了各配送中心适应度的标准差与平均值：</w:t>
      </w:r>
    </w:p>
    <w:p w14:paraId="7AE394AC">
      <w:pPr>
        <w:spacing w:line="400" w:lineRule="exact"/>
        <w:jc w:val="center"/>
        <w:rPr>
          <w:rFonts w:hint="eastAsia"/>
          <w:sz w:val="18"/>
          <w:szCs w:val="18"/>
          <w:lang w:val="en-US" w:eastAsia="zh-CN"/>
        </w:rPr>
      </w:pPr>
      <w:r>
        <w:rPr>
          <w:sz w:val="18"/>
          <w:szCs w:val="18"/>
        </w:rPr>
        <w:t xml:space="preserve">表 </w:t>
      </w:r>
      <w:r>
        <w:rPr>
          <w:sz w:val="18"/>
          <w:szCs w:val="18"/>
        </w:rPr>
        <w:fldChar w:fldCharType="begin"/>
      </w:r>
      <w:r>
        <w:rPr>
          <w:sz w:val="18"/>
          <w:szCs w:val="18"/>
        </w:rPr>
        <w:instrText xml:space="preserve"> SEQ 表 \* ARABIC </w:instrText>
      </w:r>
      <w:r>
        <w:rPr>
          <w:sz w:val="18"/>
          <w:szCs w:val="18"/>
        </w:rPr>
        <w:fldChar w:fldCharType="separate"/>
      </w:r>
      <w:r>
        <w:rPr>
          <w:sz w:val="18"/>
          <w:szCs w:val="18"/>
        </w:rPr>
        <w:t>2</w:t>
      </w:r>
      <w:r>
        <w:rPr>
          <w:sz w:val="18"/>
          <w:szCs w:val="18"/>
        </w:rPr>
        <w:fldChar w:fldCharType="end"/>
      </w:r>
      <w:r>
        <w:rPr>
          <w:rFonts w:hint="eastAsia"/>
          <w:sz w:val="18"/>
          <w:szCs w:val="18"/>
          <w:lang w:val="en-US" w:eastAsia="zh-CN"/>
        </w:rPr>
        <w:t xml:space="preserve"> 各配送中心适应度的标准差与平均值</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5D1757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2E22F687">
            <w:pPr>
              <w:jc w:val="center"/>
              <w:rPr>
                <w:rFonts w:hint="default"/>
                <w:sz w:val="18"/>
                <w:szCs w:val="18"/>
                <w:lang w:val="en-US" w:eastAsia="zh-CN"/>
              </w:rPr>
            </w:pPr>
            <w:r>
              <w:rPr>
                <w:rFonts w:hint="eastAsia"/>
                <w:sz w:val="18"/>
                <w:szCs w:val="18"/>
                <w:lang w:val="en-US" w:eastAsia="zh-CN"/>
              </w:rPr>
              <w:t>配送中心</w:t>
            </w:r>
          </w:p>
        </w:tc>
        <w:tc>
          <w:tcPr>
            <w:tcW w:w="2841" w:type="dxa"/>
          </w:tcPr>
          <w:p w14:paraId="5A901D5D">
            <w:pPr>
              <w:jc w:val="center"/>
              <w:rPr>
                <w:rFonts w:hint="default"/>
                <w:sz w:val="18"/>
                <w:szCs w:val="18"/>
                <w:lang w:val="en-US" w:eastAsia="zh-CN"/>
              </w:rPr>
            </w:pPr>
            <w:r>
              <w:rPr>
                <w:rFonts w:hint="eastAsia"/>
                <w:sz w:val="18"/>
                <w:szCs w:val="18"/>
                <w:lang w:val="en-US" w:eastAsia="zh-CN"/>
              </w:rPr>
              <w:t>均值</w:t>
            </w:r>
          </w:p>
        </w:tc>
        <w:tc>
          <w:tcPr>
            <w:tcW w:w="2841" w:type="dxa"/>
          </w:tcPr>
          <w:p w14:paraId="69AC0A3D">
            <w:pPr>
              <w:jc w:val="center"/>
              <w:rPr>
                <w:rFonts w:hint="default"/>
                <w:sz w:val="18"/>
                <w:szCs w:val="18"/>
                <w:lang w:val="en-US" w:eastAsia="zh-CN"/>
              </w:rPr>
            </w:pPr>
            <w:r>
              <w:rPr>
                <w:rFonts w:hint="eastAsia"/>
                <w:sz w:val="18"/>
                <w:szCs w:val="18"/>
                <w:lang w:val="en-US" w:eastAsia="zh-CN"/>
              </w:rPr>
              <w:t>方差</w:t>
            </w:r>
          </w:p>
        </w:tc>
      </w:tr>
      <w:tr w14:paraId="72F4FC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1BD4C82F">
            <w:pPr>
              <w:jc w:val="center"/>
              <w:rPr>
                <w:rFonts w:hint="default"/>
                <w:sz w:val="18"/>
                <w:szCs w:val="18"/>
                <w:lang w:val="en-US" w:eastAsia="zh-CN"/>
              </w:rPr>
            </w:pPr>
            <w:r>
              <w:rPr>
                <w:rFonts w:hint="eastAsia"/>
                <w:sz w:val="18"/>
                <w:szCs w:val="18"/>
                <w:lang w:val="en-US" w:eastAsia="zh-CN"/>
              </w:rPr>
              <w:t>九州通</w:t>
            </w:r>
          </w:p>
        </w:tc>
        <w:tc>
          <w:tcPr>
            <w:tcW w:w="2841" w:type="dxa"/>
          </w:tcPr>
          <w:p w14:paraId="5E25D9B7">
            <w:pPr>
              <w:jc w:val="center"/>
              <w:rPr>
                <w:rFonts w:hint="default"/>
                <w:sz w:val="18"/>
                <w:szCs w:val="18"/>
                <w:lang w:val="en-US" w:eastAsia="zh-CN"/>
              </w:rPr>
            </w:pPr>
            <w:r>
              <w:rPr>
                <w:rFonts w:hint="eastAsia"/>
                <w:sz w:val="18"/>
                <w:szCs w:val="18"/>
                <w:lang w:val="en-US" w:eastAsia="zh-CN"/>
              </w:rPr>
              <w:t>0.0101</w:t>
            </w:r>
          </w:p>
        </w:tc>
        <w:tc>
          <w:tcPr>
            <w:tcW w:w="2841" w:type="dxa"/>
          </w:tcPr>
          <w:p w14:paraId="5F80F931">
            <w:pPr>
              <w:jc w:val="center"/>
              <w:rPr>
                <w:rFonts w:hint="default"/>
                <w:sz w:val="18"/>
                <w:szCs w:val="18"/>
                <w:lang w:val="en-US" w:eastAsia="zh-CN"/>
              </w:rPr>
            </w:pPr>
            <w:r>
              <w:rPr>
                <w:rFonts w:hint="eastAsia"/>
                <w:sz w:val="18"/>
                <w:szCs w:val="18"/>
                <w:lang w:val="en-US" w:eastAsia="zh-CN"/>
              </w:rPr>
              <w:t>0.0008</w:t>
            </w:r>
          </w:p>
        </w:tc>
      </w:tr>
      <w:tr w14:paraId="3AB769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7597EFDB">
            <w:pPr>
              <w:jc w:val="center"/>
              <w:rPr>
                <w:rFonts w:hint="default"/>
                <w:sz w:val="18"/>
                <w:szCs w:val="18"/>
                <w:lang w:val="en-US" w:eastAsia="zh-CN"/>
              </w:rPr>
            </w:pPr>
            <w:r>
              <w:rPr>
                <w:rFonts w:hint="eastAsia"/>
                <w:sz w:val="18"/>
                <w:szCs w:val="18"/>
                <w:lang w:val="en-US" w:eastAsia="zh-CN"/>
              </w:rPr>
              <w:t>国药物流</w:t>
            </w:r>
          </w:p>
        </w:tc>
        <w:tc>
          <w:tcPr>
            <w:tcW w:w="2841" w:type="dxa"/>
          </w:tcPr>
          <w:p w14:paraId="76529D4C">
            <w:pPr>
              <w:jc w:val="center"/>
              <w:rPr>
                <w:rFonts w:hint="default"/>
                <w:sz w:val="18"/>
                <w:szCs w:val="18"/>
                <w:lang w:val="en-US" w:eastAsia="zh-CN"/>
              </w:rPr>
            </w:pPr>
            <w:r>
              <w:rPr>
                <w:rFonts w:hint="eastAsia"/>
                <w:sz w:val="18"/>
                <w:szCs w:val="18"/>
                <w:lang w:val="en-US" w:eastAsia="zh-CN"/>
              </w:rPr>
              <w:t>0.0032</w:t>
            </w:r>
          </w:p>
        </w:tc>
        <w:tc>
          <w:tcPr>
            <w:tcW w:w="2841" w:type="dxa"/>
          </w:tcPr>
          <w:p w14:paraId="23F3D4B5">
            <w:pPr>
              <w:jc w:val="center"/>
              <w:rPr>
                <w:rFonts w:hint="default"/>
                <w:sz w:val="18"/>
                <w:szCs w:val="18"/>
                <w:lang w:val="en-US" w:eastAsia="zh-CN"/>
              </w:rPr>
            </w:pPr>
            <w:r>
              <w:rPr>
                <w:rFonts w:hint="eastAsia"/>
                <w:sz w:val="18"/>
                <w:szCs w:val="18"/>
                <w:lang w:val="en-US" w:eastAsia="zh-CN"/>
              </w:rPr>
              <w:t>0.0002</w:t>
            </w:r>
          </w:p>
        </w:tc>
      </w:tr>
      <w:tr w14:paraId="3A3F8C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0057CD6B">
            <w:pPr>
              <w:jc w:val="center"/>
              <w:rPr>
                <w:rFonts w:hint="default"/>
                <w:sz w:val="18"/>
                <w:szCs w:val="18"/>
                <w:lang w:val="en-US" w:eastAsia="zh-CN"/>
              </w:rPr>
            </w:pPr>
            <w:r>
              <w:rPr>
                <w:rFonts w:hint="eastAsia"/>
                <w:sz w:val="18"/>
                <w:szCs w:val="18"/>
                <w:lang w:val="en-US" w:eastAsia="zh-CN"/>
              </w:rPr>
              <w:t>上药控股</w:t>
            </w:r>
          </w:p>
        </w:tc>
        <w:tc>
          <w:tcPr>
            <w:tcW w:w="2841" w:type="dxa"/>
          </w:tcPr>
          <w:p w14:paraId="7E9C685E">
            <w:pPr>
              <w:jc w:val="center"/>
              <w:rPr>
                <w:rFonts w:hint="default"/>
                <w:sz w:val="18"/>
                <w:szCs w:val="18"/>
                <w:lang w:val="en-US" w:eastAsia="zh-CN"/>
              </w:rPr>
            </w:pPr>
            <w:r>
              <w:rPr>
                <w:rFonts w:hint="eastAsia"/>
                <w:sz w:val="18"/>
                <w:szCs w:val="18"/>
                <w:lang w:val="en-US" w:eastAsia="zh-CN"/>
              </w:rPr>
              <w:t>0.0041</w:t>
            </w:r>
          </w:p>
        </w:tc>
        <w:tc>
          <w:tcPr>
            <w:tcW w:w="2841" w:type="dxa"/>
          </w:tcPr>
          <w:p w14:paraId="6FBBCE83">
            <w:pPr>
              <w:jc w:val="center"/>
              <w:rPr>
                <w:rFonts w:hint="default"/>
                <w:sz w:val="18"/>
                <w:szCs w:val="18"/>
                <w:lang w:val="en-US" w:eastAsia="zh-CN"/>
              </w:rPr>
            </w:pPr>
            <w:r>
              <w:rPr>
                <w:rFonts w:hint="eastAsia"/>
                <w:sz w:val="18"/>
                <w:szCs w:val="18"/>
                <w:lang w:val="en-US" w:eastAsia="zh-CN"/>
              </w:rPr>
              <w:t>0.0003</w:t>
            </w:r>
          </w:p>
        </w:tc>
      </w:tr>
    </w:tbl>
    <w:p w14:paraId="697BBE71">
      <w:pPr>
        <w:pStyle w:val="12"/>
        <w:keepNext w:val="0"/>
        <w:keepLines w:val="0"/>
        <w:widowControl/>
        <w:suppressLineNumbers w:val="0"/>
        <w:spacing w:before="0" w:beforeAutospacing="1" w:after="0" w:afterAutospacing="1"/>
        <w:ind w:left="0" w:right="0" w:firstLine="420" w:firstLineChars="0"/>
        <w:rPr>
          <w:rFonts w:hint="default" w:cs="Times New Roman"/>
          <w:kern w:val="2"/>
          <w:sz w:val="21"/>
          <w:szCs w:val="21"/>
          <w:lang w:val="en-US" w:eastAsia="zh-CN" w:bidi="ar-SA"/>
        </w:rPr>
      </w:pPr>
    </w:p>
    <w:p w14:paraId="72ED5A97">
      <w:pPr>
        <w:spacing w:before="156" w:beforeLines="50" w:after="156" w:afterLines="50"/>
        <w:outlineLvl w:val="1"/>
        <w:rPr>
          <w:rFonts w:hint="eastAsia" w:eastAsia="黑体"/>
          <w:b/>
          <w:bCs/>
          <w:sz w:val="28"/>
          <w:szCs w:val="28"/>
        </w:rPr>
      </w:pPr>
      <w:bookmarkStart w:id="110" w:name="_Toc5644"/>
      <w:r>
        <w:rPr>
          <w:rFonts w:eastAsia="黑体"/>
          <w:b/>
          <w:bCs/>
          <w:sz w:val="28"/>
          <w:szCs w:val="28"/>
        </w:rPr>
        <w:t>4.</w:t>
      </w:r>
      <w:r>
        <w:rPr>
          <w:rFonts w:hint="eastAsia" w:eastAsia="黑体"/>
          <w:b/>
          <w:bCs/>
          <w:sz w:val="28"/>
          <w:szCs w:val="28"/>
          <w:lang w:val="en-US" w:eastAsia="zh-CN"/>
        </w:rPr>
        <w:t>3</w:t>
      </w:r>
      <w:r>
        <w:rPr>
          <w:rFonts w:eastAsia="黑体"/>
          <w:b/>
          <w:bCs/>
          <w:sz w:val="28"/>
          <w:szCs w:val="28"/>
        </w:rPr>
        <w:t xml:space="preserve"> </w:t>
      </w:r>
      <w:r>
        <w:rPr>
          <w:rFonts w:hint="eastAsia" w:eastAsia="黑体"/>
          <w:b/>
          <w:bCs/>
          <w:sz w:val="28"/>
          <w:szCs w:val="28"/>
        </w:rPr>
        <w:t>与模拟退火模型对比</w:t>
      </w:r>
      <w:bookmarkEnd w:id="108"/>
      <w:bookmarkEnd w:id="109"/>
      <w:bookmarkEnd w:id="110"/>
    </w:p>
    <w:p w14:paraId="23B6C4C0">
      <w:pPr>
        <w:pStyle w:val="12"/>
        <w:keepNext w:val="0"/>
        <w:keepLines w:val="0"/>
        <w:widowControl/>
        <w:suppressLineNumbers w:val="0"/>
        <w:spacing w:before="0" w:beforeAutospacing="0" w:after="0" w:afterAutospacing="0"/>
        <w:ind w:left="0" w:right="0" w:firstLine="420" w:firstLineChars="0"/>
        <w:rPr>
          <w:color w:val="4D6BFE"/>
          <w:sz w:val="16"/>
          <w:szCs w:val="16"/>
        </w:rPr>
      </w:pPr>
      <w:bookmarkStart w:id="111" w:name="_Toc31096"/>
      <w:bookmarkStart w:id="112" w:name="_Toc17416"/>
      <w:r>
        <w:rPr>
          <w:rFonts w:hint="eastAsia" w:ascii="Times New Roman" w:hAnsi="Times New Roman" w:eastAsia="宋体" w:cs="Times New Roman"/>
          <w:kern w:val="2"/>
          <w:sz w:val="21"/>
          <w:szCs w:val="21"/>
          <w:lang w:val="en-US" w:eastAsia="zh-CN" w:bidi="ar-SA"/>
        </w:rPr>
        <w:t>模拟退火算法是一种受热力学启发的随机搜索技术，其核心思想借鉴了金属热处理中的退火原理。该算法通过模拟固体物质在高温熔融状态下缓慢冷却结晶的过程，实现全局最优解的搜索。在算法执行过程中，系统首先设定初始温度参数，然后在迭代过程中逐步降低温度值。在高温阶段，算法允许以较高概率接受劣质解，以增强全局探索能力；随着温度参数递减，接受劣质解的概率逐渐减小，算法趋向于局部精细搜索。这种温度调控机制有效平衡了探索与开发的关系，使算法能够跳出局部最优陷阱，逐步收敛至全局最优区域。</w:t>
      </w:r>
    </w:p>
    <w:p w14:paraId="3A5E1A3F">
      <w:pPr>
        <w:spacing w:before="156" w:beforeLines="50" w:after="156" w:afterLines="50"/>
        <w:ind w:firstLine="420" w:firstLineChars="0"/>
        <w:jc w:val="left"/>
        <w:outlineLvl w:val="9"/>
        <w:rPr>
          <w:rFonts w:hint="eastAsia"/>
          <w:szCs w:val="21"/>
        </w:rPr>
      </w:pPr>
      <w:r>
        <w:rPr>
          <w:rFonts w:hint="eastAsia"/>
          <w:szCs w:val="21"/>
        </w:rPr>
        <w:t>为了进一步评估K-MEANS-GA算法的性能，本研究将其与模拟退火算法（SA）进行了对比。模拟退火算法是一种基于物理退火过程的随机搜索算法，常用于解决组合优化问题。在本研究中，我们使用遗传算法（GA）和模拟退火算法（SA）对模拟出的车辆路径问题（VRP）进行了求解。</w:t>
      </w:r>
      <w:bookmarkEnd w:id="111"/>
      <w:bookmarkEnd w:id="112"/>
    </w:p>
    <w:p w14:paraId="13DE0867">
      <w:pPr>
        <w:spacing w:before="156" w:beforeLines="50" w:after="156" w:afterLines="50"/>
        <w:ind w:firstLine="420" w:firstLineChars="0"/>
        <w:jc w:val="left"/>
        <w:outlineLvl w:val="9"/>
        <w:rPr>
          <w:rFonts w:hint="eastAsia"/>
          <w:szCs w:val="21"/>
        </w:rPr>
      </w:pPr>
      <w:bookmarkStart w:id="113" w:name="_Toc26593"/>
      <w:bookmarkStart w:id="114" w:name="_Toc12128"/>
      <w:r>
        <w:rPr>
          <w:rFonts w:hint="eastAsia"/>
          <w:szCs w:val="21"/>
        </w:rPr>
        <w:t>为了评估算法的性能，我们记录了每个算法在不同案例中的适应度值，并计算了对应的路径总距离。适应度值是路径总距离的倒数，因此适应度值越大表示路径越优。从表</w:t>
      </w:r>
      <w:r>
        <w:rPr>
          <w:rFonts w:hint="eastAsia"/>
          <w:szCs w:val="21"/>
          <w:lang w:val="en-US" w:eastAsia="zh-CN"/>
        </w:rPr>
        <w:t>2</w:t>
      </w:r>
      <w:r>
        <w:rPr>
          <w:rFonts w:hint="eastAsia"/>
          <w:szCs w:val="21"/>
        </w:rPr>
        <w:t>可以看出，</w:t>
      </w:r>
      <w:bookmarkEnd w:id="113"/>
      <w:bookmarkEnd w:id="114"/>
      <w:r>
        <w:rPr>
          <w:rFonts w:hint="eastAsia"/>
          <w:szCs w:val="21"/>
        </w:rPr>
        <w:t>遗传算法（GA）在所有配送中心的路径总距离均远低于模拟退火算法（SA），表现出更优的优化能力。具体而言，GA 在路径规划中相较于 SA 节省了 84.55% 至 88.08% 的路径总距离，显著提高了配送效率。其中，国药物流的优化效果最高，达 88.08%，表明 GA 在该场景下能够有效减少配送路径，提高资源利用率，优化整体运输成本。</w:t>
      </w:r>
    </w:p>
    <w:p w14:paraId="23C83158">
      <w:pPr>
        <w:spacing w:line="400" w:lineRule="exact"/>
        <w:jc w:val="center"/>
        <w:rPr>
          <w:rFonts w:hint="default" w:eastAsia="宋体"/>
          <w:szCs w:val="21"/>
          <w:lang w:val="en-US" w:eastAsia="zh-CN"/>
        </w:rPr>
      </w:pPr>
      <w:r>
        <w:rPr>
          <w:rFonts w:hint="eastAsia"/>
          <w:sz w:val="18"/>
          <w:szCs w:val="18"/>
        </w:rPr>
        <w:t xml:space="preserve">表 </w:t>
      </w:r>
      <w:r>
        <w:rPr>
          <w:rFonts w:hint="eastAsia"/>
          <w:sz w:val="18"/>
          <w:szCs w:val="18"/>
        </w:rPr>
        <w:fldChar w:fldCharType="begin"/>
      </w:r>
      <w:r>
        <w:rPr>
          <w:rFonts w:hint="eastAsia"/>
          <w:sz w:val="18"/>
          <w:szCs w:val="18"/>
        </w:rPr>
        <w:instrText xml:space="preserve"> SEQ 表 \* ARABIC </w:instrText>
      </w:r>
      <w:r>
        <w:rPr>
          <w:rFonts w:hint="eastAsia"/>
          <w:sz w:val="18"/>
          <w:szCs w:val="18"/>
        </w:rPr>
        <w:fldChar w:fldCharType="separate"/>
      </w:r>
      <w:r>
        <w:rPr>
          <w:rFonts w:hint="eastAsia"/>
          <w:sz w:val="18"/>
          <w:szCs w:val="18"/>
        </w:rPr>
        <w:t>3</w:t>
      </w:r>
      <w:r>
        <w:rPr>
          <w:rFonts w:hint="eastAsia"/>
          <w:sz w:val="18"/>
          <w:szCs w:val="18"/>
        </w:rPr>
        <w:fldChar w:fldCharType="end"/>
      </w:r>
      <w:r>
        <w:rPr>
          <w:rFonts w:hint="eastAsia"/>
          <w:sz w:val="18"/>
          <w:szCs w:val="18"/>
          <w:lang w:val="en-US" w:eastAsia="zh-CN"/>
        </w:rPr>
        <w:t xml:space="preserve"> 遗传算法与模拟退火算法适应度比较</w:t>
      </w:r>
    </w:p>
    <w:tbl>
      <w:tblPr>
        <w:tblStyle w:val="1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04"/>
        <w:gridCol w:w="2809"/>
        <w:gridCol w:w="3059"/>
      </w:tblGrid>
      <w:tr w14:paraId="5F3D40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47" w:hRule="atLeast"/>
          <w:tblHeader/>
          <w:jc w:val="center"/>
        </w:trPr>
        <w:tc>
          <w:tcPr>
            <w:tcW w:w="1104" w:type="dxa"/>
            <w:tcBorders>
              <w:top w:val="single" w:color="000000" w:sz="4" w:space="0"/>
              <w:left w:val="single" w:color="000000" w:sz="4" w:space="0"/>
              <w:bottom w:val="single" w:color="000000" w:sz="4" w:space="0"/>
              <w:right w:val="single" w:color="000000" w:sz="4" w:space="0"/>
              <w:tl2br w:val="nil"/>
            </w:tcBorders>
            <w:shd w:val="clear" w:color="auto" w:fill="FFFFFF"/>
            <w:tcMar>
              <w:top w:w="144" w:type="dxa"/>
              <w:left w:w="192" w:type="dxa"/>
              <w:bottom w:w="144" w:type="dxa"/>
              <w:right w:w="192" w:type="dxa"/>
            </w:tcMar>
            <w:vAlign w:val="center"/>
          </w:tcPr>
          <w:p w14:paraId="068FC371">
            <w:pPr>
              <w:jc w:val="center"/>
              <w:rPr>
                <w:rFonts w:hint="eastAsia"/>
                <w:b w:val="0"/>
                <w:color w:val="000000"/>
                <w:sz w:val="18"/>
                <w:szCs w:val="18"/>
              </w:rPr>
            </w:pPr>
            <w:bookmarkStart w:id="115" w:name="_Toc25584"/>
            <w:bookmarkStart w:id="116" w:name="_Toc15323"/>
            <w:r>
              <w:rPr>
                <w:rFonts w:hint="eastAsia"/>
                <w:b w:val="0"/>
                <w:color w:val="000000"/>
                <w:sz w:val="18"/>
                <w:szCs w:val="18"/>
                <w:lang w:val="en-US" w:eastAsia="zh-CN"/>
              </w:rPr>
              <w:t>配送中心</w:t>
            </w:r>
            <w:bookmarkEnd w:id="115"/>
            <w:bookmarkEnd w:id="116"/>
          </w:p>
        </w:tc>
        <w:tc>
          <w:tcPr>
            <w:tcW w:w="2809" w:type="dxa"/>
            <w:tcBorders>
              <w:top w:val="single" w:color="000000" w:sz="4" w:space="0"/>
              <w:left w:val="single" w:color="000000" w:sz="4" w:space="0"/>
              <w:bottom w:val="single" w:color="000000" w:sz="4" w:space="0"/>
              <w:right w:val="single" w:color="000000" w:sz="4" w:space="0"/>
            </w:tcBorders>
            <w:shd w:val="clear" w:color="auto" w:fill="FFFFFF"/>
            <w:tcMar>
              <w:top w:w="144" w:type="dxa"/>
              <w:left w:w="192" w:type="dxa"/>
              <w:bottom w:w="144" w:type="dxa"/>
              <w:right w:w="192" w:type="dxa"/>
            </w:tcMar>
            <w:vAlign w:val="center"/>
          </w:tcPr>
          <w:p w14:paraId="4FC46E7B">
            <w:pPr>
              <w:jc w:val="center"/>
              <w:rPr>
                <w:rFonts w:hint="eastAsia"/>
                <w:b w:val="0"/>
                <w:color w:val="000000"/>
                <w:sz w:val="18"/>
                <w:szCs w:val="18"/>
              </w:rPr>
            </w:pPr>
            <w:bookmarkStart w:id="117" w:name="_Toc30433"/>
            <w:bookmarkStart w:id="118" w:name="_Toc18240"/>
            <w:r>
              <w:rPr>
                <w:rFonts w:hint="eastAsia"/>
                <w:b w:val="0"/>
                <w:color w:val="000000"/>
                <w:sz w:val="18"/>
                <w:szCs w:val="18"/>
                <w:lang w:val="en-US" w:eastAsia="zh-CN"/>
              </w:rPr>
              <w:t>遗传算法(GA)适应度</w:t>
            </w:r>
            <w:bookmarkEnd w:id="117"/>
            <w:bookmarkEnd w:id="118"/>
          </w:p>
        </w:tc>
        <w:tc>
          <w:tcPr>
            <w:tcW w:w="3059" w:type="dxa"/>
            <w:tcBorders>
              <w:top w:val="single" w:color="000000" w:sz="4" w:space="0"/>
              <w:left w:val="single" w:color="000000" w:sz="4" w:space="0"/>
              <w:bottom w:val="single" w:color="000000" w:sz="4" w:space="0"/>
              <w:right w:val="single" w:color="000000" w:sz="4" w:space="0"/>
            </w:tcBorders>
            <w:shd w:val="clear" w:color="auto" w:fill="FFFFFF"/>
            <w:tcMar>
              <w:top w:w="144" w:type="dxa"/>
              <w:left w:w="192" w:type="dxa"/>
              <w:bottom w:w="144" w:type="dxa"/>
              <w:right w:w="192" w:type="dxa"/>
            </w:tcMar>
            <w:vAlign w:val="center"/>
          </w:tcPr>
          <w:p w14:paraId="04E28FDF">
            <w:pPr>
              <w:jc w:val="center"/>
              <w:rPr>
                <w:rFonts w:hint="eastAsia"/>
                <w:b w:val="0"/>
                <w:color w:val="000000"/>
                <w:sz w:val="18"/>
                <w:szCs w:val="18"/>
              </w:rPr>
            </w:pPr>
            <w:bookmarkStart w:id="119" w:name="_Toc11996"/>
            <w:bookmarkStart w:id="120" w:name="_Toc8264"/>
            <w:r>
              <w:rPr>
                <w:rFonts w:hint="eastAsia"/>
                <w:b w:val="0"/>
                <w:color w:val="000000"/>
                <w:sz w:val="18"/>
                <w:szCs w:val="18"/>
                <w:lang w:val="en-US" w:eastAsia="zh-CN"/>
              </w:rPr>
              <w:t>模拟退火(SA)适应度</w:t>
            </w:r>
            <w:bookmarkEnd w:id="119"/>
            <w:bookmarkEnd w:id="120"/>
          </w:p>
        </w:tc>
      </w:tr>
      <w:tr w14:paraId="1369ED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1104" w:type="dxa"/>
            <w:tcBorders>
              <w:top w:val="single" w:color="000000" w:sz="4" w:space="0"/>
              <w:left w:val="single" w:color="000000" w:sz="4" w:space="0"/>
              <w:bottom w:val="single" w:color="000000" w:sz="4" w:space="0"/>
              <w:right w:val="single" w:color="000000" w:sz="4" w:space="0"/>
            </w:tcBorders>
            <w:shd w:val="clear" w:color="auto" w:fill="FFFFFF"/>
            <w:tcMar>
              <w:top w:w="144" w:type="dxa"/>
              <w:left w:w="192" w:type="dxa"/>
              <w:bottom w:w="144" w:type="dxa"/>
              <w:right w:w="192" w:type="dxa"/>
            </w:tcMar>
            <w:vAlign w:val="center"/>
          </w:tcPr>
          <w:p w14:paraId="49A6D398">
            <w:pPr>
              <w:jc w:val="center"/>
              <w:rPr>
                <w:rFonts w:hint="eastAsia"/>
                <w:b w:val="0"/>
                <w:color w:val="000000"/>
                <w:sz w:val="18"/>
                <w:szCs w:val="18"/>
              </w:rPr>
            </w:pPr>
            <w:bookmarkStart w:id="121" w:name="_Toc12278"/>
            <w:bookmarkStart w:id="122" w:name="_Toc27765"/>
            <w:r>
              <w:rPr>
                <w:rFonts w:hint="eastAsia"/>
                <w:b w:val="0"/>
                <w:color w:val="000000"/>
                <w:sz w:val="18"/>
                <w:szCs w:val="18"/>
                <w:lang w:val="en-US" w:eastAsia="zh-CN"/>
              </w:rPr>
              <w:t>九州通</w:t>
            </w:r>
            <w:bookmarkEnd w:id="121"/>
            <w:bookmarkEnd w:id="122"/>
          </w:p>
        </w:tc>
        <w:tc>
          <w:tcPr>
            <w:tcW w:w="2809" w:type="dxa"/>
            <w:tcBorders>
              <w:top w:val="single" w:color="000000" w:sz="4" w:space="0"/>
              <w:left w:val="single" w:color="000000" w:sz="4" w:space="0"/>
              <w:bottom w:val="single" w:color="000000" w:sz="4" w:space="0"/>
              <w:right w:val="single" w:color="000000" w:sz="4" w:space="0"/>
            </w:tcBorders>
            <w:shd w:val="clear" w:color="auto" w:fill="FFFFFF"/>
            <w:tcMar>
              <w:top w:w="144" w:type="dxa"/>
              <w:left w:w="192" w:type="dxa"/>
              <w:bottom w:w="144" w:type="dxa"/>
              <w:right w:w="192" w:type="dxa"/>
            </w:tcMar>
            <w:vAlign w:val="center"/>
          </w:tcPr>
          <w:p w14:paraId="0B5818A8">
            <w:pPr>
              <w:jc w:val="center"/>
              <w:rPr>
                <w:rFonts w:hint="eastAsia"/>
                <w:b w:val="0"/>
                <w:color w:val="000000"/>
                <w:sz w:val="18"/>
                <w:szCs w:val="18"/>
              </w:rPr>
            </w:pPr>
            <w:bookmarkStart w:id="123" w:name="_Toc19271"/>
            <w:bookmarkStart w:id="124" w:name="_Toc6976"/>
            <w:r>
              <w:rPr>
                <w:rFonts w:hint="eastAsia"/>
                <w:b w:val="0"/>
                <w:color w:val="000000"/>
                <w:sz w:val="18"/>
                <w:szCs w:val="18"/>
                <w:lang w:val="en-US" w:eastAsia="zh-CN"/>
              </w:rPr>
              <w:t>0.006858259</w:t>
            </w:r>
            <w:bookmarkEnd w:id="123"/>
            <w:bookmarkEnd w:id="124"/>
          </w:p>
        </w:tc>
        <w:tc>
          <w:tcPr>
            <w:tcW w:w="3059" w:type="dxa"/>
            <w:tcBorders>
              <w:top w:val="single" w:color="000000" w:sz="4" w:space="0"/>
              <w:left w:val="single" w:color="000000" w:sz="4" w:space="0"/>
              <w:bottom w:val="single" w:color="000000" w:sz="4" w:space="0"/>
              <w:right w:val="single" w:color="000000" w:sz="4" w:space="0"/>
            </w:tcBorders>
            <w:shd w:val="clear" w:color="auto" w:fill="FFFFFF"/>
            <w:tcMar>
              <w:top w:w="144" w:type="dxa"/>
              <w:left w:w="192" w:type="dxa"/>
              <w:bottom w:w="144" w:type="dxa"/>
              <w:right w:w="192" w:type="dxa"/>
            </w:tcMar>
            <w:vAlign w:val="center"/>
          </w:tcPr>
          <w:p w14:paraId="674D78B9">
            <w:pPr>
              <w:jc w:val="center"/>
              <w:rPr>
                <w:rFonts w:hint="eastAsia"/>
                <w:b w:val="0"/>
                <w:color w:val="000000"/>
                <w:sz w:val="18"/>
                <w:szCs w:val="18"/>
              </w:rPr>
            </w:pPr>
            <w:bookmarkStart w:id="125" w:name="_Toc2610"/>
            <w:bookmarkStart w:id="126" w:name="_Toc20362"/>
            <w:r>
              <w:rPr>
                <w:rFonts w:hint="eastAsia"/>
                <w:b w:val="0"/>
                <w:color w:val="000000"/>
                <w:sz w:val="18"/>
                <w:szCs w:val="18"/>
                <w:lang w:val="en-US" w:eastAsia="zh-CN"/>
              </w:rPr>
              <w:t>0.0009369479940658</w:t>
            </w:r>
            <w:bookmarkEnd w:id="125"/>
            <w:bookmarkEnd w:id="126"/>
          </w:p>
        </w:tc>
      </w:tr>
      <w:tr w14:paraId="1F3D49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1104" w:type="dxa"/>
            <w:tcBorders>
              <w:top w:val="single" w:color="000000" w:sz="4" w:space="0"/>
              <w:left w:val="single" w:color="000000" w:sz="4" w:space="0"/>
              <w:bottom w:val="single" w:color="000000" w:sz="4" w:space="0"/>
              <w:right w:val="single" w:color="000000" w:sz="4" w:space="0"/>
            </w:tcBorders>
            <w:shd w:val="clear" w:color="auto" w:fill="FFFFFF"/>
            <w:tcMar>
              <w:top w:w="144" w:type="dxa"/>
              <w:left w:w="192" w:type="dxa"/>
              <w:bottom w:w="144" w:type="dxa"/>
              <w:right w:w="192" w:type="dxa"/>
            </w:tcMar>
            <w:vAlign w:val="center"/>
          </w:tcPr>
          <w:p w14:paraId="5F9106AE">
            <w:pPr>
              <w:jc w:val="center"/>
              <w:rPr>
                <w:rFonts w:hint="eastAsia"/>
                <w:b w:val="0"/>
                <w:color w:val="000000"/>
                <w:sz w:val="18"/>
                <w:szCs w:val="18"/>
              </w:rPr>
            </w:pPr>
            <w:bookmarkStart w:id="127" w:name="_Toc19036"/>
            <w:bookmarkStart w:id="128" w:name="_Toc2823"/>
            <w:r>
              <w:rPr>
                <w:rFonts w:hint="eastAsia"/>
                <w:b w:val="0"/>
                <w:color w:val="000000"/>
                <w:sz w:val="18"/>
                <w:szCs w:val="18"/>
                <w:lang w:val="en-US" w:eastAsia="zh-CN"/>
              </w:rPr>
              <w:t>国药物流</w:t>
            </w:r>
            <w:bookmarkEnd w:id="127"/>
            <w:bookmarkEnd w:id="128"/>
          </w:p>
        </w:tc>
        <w:tc>
          <w:tcPr>
            <w:tcW w:w="2809" w:type="dxa"/>
            <w:tcBorders>
              <w:top w:val="single" w:color="000000" w:sz="4" w:space="0"/>
              <w:left w:val="single" w:color="000000" w:sz="4" w:space="0"/>
              <w:bottom w:val="single" w:color="000000" w:sz="4" w:space="0"/>
              <w:right w:val="single" w:color="000000" w:sz="4" w:space="0"/>
            </w:tcBorders>
            <w:shd w:val="clear" w:color="auto" w:fill="FFFFFF"/>
            <w:tcMar>
              <w:top w:w="144" w:type="dxa"/>
              <w:left w:w="192" w:type="dxa"/>
              <w:bottom w:w="144" w:type="dxa"/>
              <w:right w:w="192" w:type="dxa"/>
            </w:tcMar>
            <w:vAlign w:val="center"/>
          </w:tcPr>
          <w:p w14:paraId="1EB7521B">
            <w:pPr>
              <w:jc w:val="center"/>
              <w:rPr>
                <w:rFonts w:hint="eastAsia"/>
                <w:b w:val="0"/>
                <w:color w:val="000000"/>
                <w:sz w:val="18"/>
                <w:szCs w:val="18"/>
              </w:rPr>
            </w:pPr>
            <w:bookmarkStart w:id="129" w:name="_Toc16185"/>
            <w:bookmarkStart w:id="130" w:name="_Toc17861"/>
            <w:r>
              <w:rPr>
                <w:rFonts w:hint="eastAsia"/>
                <w:b w:val="0"/>
                <w:color w:val="000000"/>
                <w:sz w:val="18"/>
                <w:szCs w:val="18"/>
                <w:lang w:val="en-US" w:eastAsia="zh-CN"/>
              </w:rPr>
              <w:t>0.004251785</w:t>
            </w:r>
            <w:bookmarkEnd w:id="129"/>
            <w:bookmarkEnd w:id="130"/>
          </w:p>
        </w:tc>
        <w:tc>
          <w:tcPr>
            <w:tcW w:w="3059" w:type="dxa"/>
            <w:tcBorders>
              <w:top w:val="single" w:color="000000" w:sz="4" w:space="0"/>
              <w:left w:val="single" w:color="000000" w:sz="4" w:space="0"/>
              <w:bottom w:val="single" w:color="000000" w:sz="4" w:space="0"/>
              <w:right w:val="single" w:color="000000" w:sz="4" w:space="0"/>
            </w:tcBorders>
            <w:shd w:val="clear" w:color="auto" w:fill="FFFFFF"/>
            <w:tcMar>
              <w:top w:w="144" w:type="dxa"/>
              <w:left w:w="192" w:type="dxa"/>
              <w:bottom w:w="144" w:type="dxa"/>
              <w:right w:w="192" w:type="dxa"/>
            </w:tcMar>
            <w:vAlign w:val="center"/>
          </w:tcPr>
          <w:p w14:paraId="4F1AD315">
            <w:pPr>
              <w:jc w:val="center"/>
              <w:rPr>
                <w:rFonts w:hint="eastAsia"/>
                <w:b w:val="0"/>
                <w:color w:val="000000"/>
                <w:sz w:val="18"/>
                <w:szCs w:val="18"/>
              </w:rPr>
            </w:pPr>
            <w:bookmarkStart w:id="131" w:name="_Toc14107"/>
            <w:bookmarkStart w:id="132" w:name="_Toc28736"/>
            <w:r>
              <w:rPr>
                <w:rFonts w:hint="eastAsia"/>
                <w:b w:val="0"/>
                <w:color w:val="000000"/>
                <w:sz w:val="18"/>
                <w:szCs w:val="18"/>
                <w:lang w:val="en-US" w:eastAsia="zh-CN"/>
              </w:rPr>
              <w:t>0.0005070016599349</w:t>
            </w:r>
            <w:bookmarkEnd w:id="131"/>
            <w:bookmarkEnd w:id="132"/>
          </w:p>
        </w:tc>
      </w:tr>
      <w:tr w14:paraId="4F140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1104" w:type="dxa"/>
            <w:tcBorders>
              <w:top w:val="single" w:color="000000" w:sz="4" w:space="0"/>
              <w:left w:val="single" w:color="000000" w:sz="4" w:space="0"/>
              <w:bottom w:val="single" w:color="000000" w:sz="4" w:space="0"/>
              <w:right w:val="single" w:color="000000" w:sz="4" w:space="0"/>
            </w:tcBorders>
            <w:shd w:val="clear" w:color="auto" w:fill="FFFFFF"/>
            <w:tcMar>
              <w:top w:w="144" w:type="dxa"/>
              <w:left w:w="192" w:type="dxa"/>
              <w:bottom w:w="144" w:type="dxa"/>
              <w:right w:w="192" w:type="dxa"/>
            </w:tcMar>
            <w:vAlign w:val="center"/>
          </w:tcPr>
          <w:p w14:paraId="6C24F8F9">
            <w:pPr>
              <w:jc w:val="center"/>
              <w:rPr>
                <w:rFonts w:hint="eastAsia"/>
                <w:b w:val="0"/>
                <w:color w:val="000000"/>
                <w:sz w:val="18"/>
                <w:szCs w:val="18"/>
              </w:rPr>
            </w:pPr>
            <w:bookmarkStart w:id="133" w:name="_Toc729"/>
            <w:bookmarkStart w:id="134" w:name="_Toc24386"/>
            <w:r>
              <w:rPr>
                <w:rFonts w:hint="eastAsia"/>
                <w:b w:val="0"/>
                <w:color w:val="000000"/>
                <w:sz w:val="18"/>
                <w:szCs w:val="18"/>
                <w:lang w:val="en-US" w:eastAsia="zh-CN"/>
              </w:rPr>
              <w:t>上药控股</w:t>
            </w:r>
            <w:bookmarkEnd w:id="133"/>
            <w:bookmarkEnd w:id="134"/>
          </w:p>
        </w:tc>
        <w:tc>
          <w:tcPr>
            <w:tcW w:w="2809" w:type="dxa"/>
            <w:tcBorders>
              <w:top w:val="single" w:color="000000" w:sz="4" w:space="0"/>
              <w:left w:val="single" w:color="000000" w:sz="4" w:space="0"/>
              <w:bottom w:val="single" w:color="000000" w:sz="4" w:space="0"/>
              <w:right w:val="single" w:color="000000" w:sz="4" w:space="0"/>
            </w:tcBorders>
            <w:shd w:val="clear" w:color="auto" w:fill="FFFFFF"/>
            <w:tcMar>
              <w:top w:w="144" w:type="dxa"/>
              <w:left w:w="192" w:type="dxa"/>
              <w:bottom w:w="144" w:type="dxa"/>
              <w:right w:w="192" w:type="dxa"/>
            </w:tcMar>
            <w:vAlign w:val="center"/>
          </w:tcPr>
          <w:p w14:paraId="7CFF19A0">
            <w:pPr>
              <w:jc w:val="center"/>
              <w:rPr>
                <w:rFonts w:hint="eastAsia"/>
                <w:b w:val="0"/>
                <w:color w:val="000000"/>
                <w:sz w:val="18"/>
                <w:szCs w:val="18"/>
              </w:rPr>
            </w:pPr>
            <w:bookmarkStart w:id="135" w:name="_Toc2857"/>
            <w:bookmarkStart w:id="136" w:name="_Toc8462"/>
            <w:r>
              <w:rPr>
                <w:rFonts w:hint="eastAsia"/>
                <w:b w:val="0"/>
                <w:color w:val="000000"/>
                <w:sz w:val="18"/>
                <w:szCs w:val="18"/>
                <w:lang w:val="en-US" w:eastAsia="zh-CN"/>
              </w:rPr>
              <w:t>0.003602842</w:t>
            </w:r>
            <w:bookmarkEnd w:id="135"/>
            <w:bookmarkEnd w:id="136"/>
          </w:p>
        </w:tc>
        <w:tc>
          <w:tcPr>
            <w:tcW w:w="3059" w:type="dxa"/>
            <w:tcBorders>
              <w:top w:val="single" w:color="000000" w:sz="4" w:space="0"/>
              <w:left w:val="single" w:color="000000" w:sz="4" w:space="0"/>
              <w:bottom w:val="single" w:color="000000" w:sz="4" w:space="0"/>
              <w:right w:val="single" w:color="000000" w:sz="4" w:space="0"/>
            </w:tcBorders>
            <w:shd w:val="clear" w:color="auto" w:fill="FFFFFF"/>
            <w:tcMar>
              <w:top w:w="144" w:type="dxa"/>
              <w:left w:w="192" w:type="dxa"/>
              <w:bottom w:w="144" w:type="dxa"/>
              <w:right w:w="192" w:type="dxa"/>
            </w:tcMar>
            <w:vAlign w:val="center"/>
          </w:tcPr>
          <w:p w14:paraId="583EE054">
            <w:pPr>
              <w:jc w:val="center"/>
              <w:rPr>
                <w:rFonts w:hint="eastAsia"/>
                <w:b w:val="0"/>
                <w:color w:val="000000"/>
                <w:sz w:val="18"/>
                <w:szCs w:val="18"/>
              </w:rPr>
            </w:pPr>
            <w:bookmarkStart w:id="137" w:name="_Toc24593"/>
            <w:bookmarkStart w:id="138" w:name="_Toc24347"/>
            <w:r>
              <w:rPr>
                <w:rFonts w:hint="eastAsia"/>
                <w:b w:val="0"/>
                <w:color w:val="000000"/>
                <w:sz w:val="18"/>
                <w:szCs w:val="18"/>
                <w:lang w:val="en-US" w:eastAsia="zh-CN"/>
              </w:rPr>
              <w:t>0.0005565334916150924</w:t>
            </w:r>
            <w:bookmarkEnd w:id="137"/>
            <w:bookmarkEnd w:id="138"/>
          </w:p>
        </w:tc>
      </w:tr>
    </w:tbl>
    <w:p w14:paraId="6261EAB0">
      <w:pPr>
        <w:spacing w:before="156" w:beforeLines="50" w:after="156" w:afterLines="50"/>
        <w:outlineLvl w:val="1"/>
        <w:rPr>
          <w:rFonts w:hint="eastAsia" w:eastAsia="黑体"/>
          <w:b/>
          <w:bCs/>
          <w:sz w:val="28"/>
          <w:szCs w:val="28"/>
          <w:lang w:val="en-US" w:eastAsia="zh-CN"/>
        </w:rPr>
      </w:pPr>
      <w:bookmarkStart w:id="139" w:name="_Toc17351"/>
      <w:r>
        <w:rPr>
          <w:rFonts w:hint="eastAsia" w:eastAsia="黑体"/>
          <w:b/>
          <w:bCs/>
          <w:sz w:val="28"/>
          <w:szCs w:val="28"/>
          <w:lang w:val="en-US" w:eastAsia="zh-CN"/>
        </w:rPr>
        <w:t>4.4 算法复杂度</w:t>
      </w:r>
      <w:bookmarkEnd w:id="139"/>
    </w:p>
    <w:p w14:paraId="4BDE7B0A">
      <w:pPr>
        <w:pStyle w:val="12"/>
        <w:keepNext w:val="0"/>
        <w:keepLines w:val="0"/>
        <w:widowControl/>
        <w:suppressLineNumbers w:val="0"/>
        <w:spacing w:before="0" w:beforeAutospacing="1" w:after="0" w:afterAutospacing="1"/>
        <w:ind w:left="0" w:right="0" w:firstLine="420" w:firstLineChars="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在本研究中，我们分析了 K-Means和遗传算法（GA） 的计算复杂度，并探讨了它们在大规模数据下的适用性。</w:t>
      </w:r>
      <w:r>
        <w:rPr>
          <w:rFonts w:hint="eastAsia" w:cs="Times New Roman"/>
          <w:kern w:val="2"/>
          <w:sz w:val="21"/>
          <w:szCs w:val="21"/>
          <w:lang w:val="en-US" w:eastAsia="zh-CN" w:bidi="ar-SA"/>
        </w:rPr>
        <w:t>K-</w:t>
      </w:r>
      <w:r>
        <w:rPr>
          <w:rFonts w:hint="eastAsia" w:ascii="Times New Roman" w:hAnsi="Times New Roman" w:eastAsia="宋体" w:cs="Times New Roman"/>
          <w:kern w:val="2"/>
          <w:sz w:val="21"/>
          <w:szCs w:val="21"/>
          <w:lang w:val="en-US" w:eastAsia="zh-CN" w:bidi="ar-SA"/>
        </w:rPr>
        <w:t>Means 作为一种经典的聚类算法，其计算复杂度主要受样本数量</w:t>
      </w:r>
      <w:r>
        <w:rPr>
          <w:rFonts w:hint="eastAsia" w:cs="Times New Roman"/>
          <w:kern w:val="2"/>
          <w:sz w:val="21"/>
          <w:szCs w:val="21"/>
          <w:lang w:val="en-US" w:eastAsia="zh-CN" w:bidi="ar-SA"/>
        </w:rPr>
        <w:t>N</w:t>
      </w:r>
      <w:r>
        <w:rPr>
          <w:rFonts w:hint="eastAsia" w:ascii="Times New Roman" w:hAnsi="Times New Roman" w:eastAsia="宋体" w:cs="Times New Roman"/>
          <w:kern w:val="2"/>
          <w:sz w:val="21"/>
          <w:szCs w:val="21"/>
          <w:lang w:val="en-US" w:eastAsia="zh-CN" w:bidi="ar-SA"/>
        </w:rPr>
        <w:t>、簇的数量</w:t>
      </w:r>
      <w:r>
        <w:rPr>
          <w:rFonts w:hint="eastAsia" w:cs="Times New Roman"/>
          <w:kern w:val="2"/>
          <w:sz w:val="21"/>
          <w:szCs w:val="21"/>
          <w:lang w:val="en-US" w:eastAsia="zh-CN" w:bidi="ar-SA"/>
        </w:rPr>
        <w:t>K</w:t>
      </w:r>
      <w:r>
        <w:rPr>
          <w:rFonts w:hint="eastAsia" w:ascii="Times New Roman" w:hAnsi="Times New Roman" w:eastAsia="宋体" w:cs="Times New Roman"/>
          <w:kern w:val="2"/>
          <w:sz w:val="21"/>
          <w:szCs w:val="21"/>
          <w:lang w:val="en-US" w:eastAsia="zh-CN" w:bidi="ar-SA"/>
        </w:rPr>
        <w:t>、特征维度</w:t>
      </w:r>
      <w:r>
        <w:rPr>
          <w:rFonts w:hint="eastAsia" w:cs="Times New Roman"/>
          <w:kern w:val="2"/>
          <w:sz w:val="21"/>
          <w:szCs w:val="21"/>
          <w:lang w:val="en-US" w:eastAsia="zh-CN" w:bidi="ar-SA"/>
        </w:rPr>
        <w:t>d</w:t>
      </w:r>
      <w:r>
        <w:rPr>
          <w:rFonts w:hint="eastAsia" w:ascii="Times New Roman" w:hAnsi="Times New Roman" w:eastAsia="宋体" w:cs="Times New Roman"/>
          <w:kern w:val="2"/>
          <w:sz w:val="21"/>
          <w:szCs w:val="21"/>
          <w:lang w:val="en-US" w:eastAsia="zh-CN" w:bidi="ar-SA"/>
        </w:rPr>
        <w:t>和迭代次数</w:t>
      </w:r>
      <w:r>
        <w:rPr>
          <w:rFonts w:hint="eastAsia" w:cs="Times New Roman"/>
          <w:kern w:val="2"/>
          <w:sz w:val="21"/>
          <w:szCs w:val="21"/>
          <w:lang w:val="en-US" w:eastAsia="zh-CN" w:bidi="ar-SA"/>
        </w:rPr>
        <w:t>T</w:t>
      </w:r>
      <w:r>
        <w:rPr>
          <w:rFonts w:hint="eastAsia" w:ascii="Times New Roman" w:hAnsi="Times New Roman" w:eastAsia="宋体" w:cs="Times New Roman"/>
          <w:kern w:val="2"/>
          <w:sz w:val="21"/>
          <w:szCs w:val="21"/>
          <w:lang w:val="en-US" w:eastAsia="zh-CN" w:bidi="ar-SA"/>
        </w:rPr>
        <w:t>的影响。在每次迭代中，该算法需要计算所有数据点到簇中心的距离，并重新分配簇，整体的时间复杂度约为</w:t>
      </w:r>
      <w:r>
        <w:rPr>
          <w:rFonts w:hint="eastAsia" w:cs="Times New Roman"/>
          <w:kern w:val="2"/>
          <w:sz w:val="21"/>
          <w:szCs w:val="21"/>
          <w:lang w:val="en-US" w:eastAsia="zh-CN" w:bidi="ar-SA"/>
        </w:rPr>
        <w:t>O(NKdT)</w:t>
      </w:r>
      <w:r>
        <w:rPr>
          <w:rFonts w:hint="eastAsia" w:ascii="Times New Roman" w:hAnsi="Times New Roman" w:eastAsia="宋体" w:cs="Times New Roman"/>
          <w:kern w:val="2"/>
          <w:sz w:val="21"/>
          <w:szCs w:val="21"/>
          <w:lang w:val="en-US" w:eastAsia="zh-CN" w:bidi="ar-SA"/>
        </w:rPr>
        <w:t>。相比之下，遗传算法是一种基于进化思想的全局优化方法，适用于复杂优化问题。其计算复杂度取决于种群大小</w:t>
      </w:r>
      <w:r>
        <w:rPr>
          <w:rFonts w:hint="eastAsia" w:cs="Times New Roman"/>
          <w:kern w:val="2"/>
          <w:sz w:val="21"/>
          <w:szCs w:val="21"/>
          <w:lang w:val="en-US" w:eastAsia="zh-CN" w:bidi="ar-SA"/>
        </w:rPr>
        <w:t>P</w:t>
      </w:r>
      <w:r>
        <w:rPr>
          <w:rFonts w:hint="eastAsia" w:ascii="Times New Roman" w:hAnsi="Times New Roman" w:eastAsia="宋体" w:cs="Times New Roman"/>
          <w:kern w:val="2"/>
          <w:sz w:val="21"/>
          <w:szCs w:val="21"/>
          <w:lang w:val="en-US" w:eastAsia="zh-CN" w:bidi="ar-SA"/>
        </w:rPr>
        <w:t>、适应度计算</w:t>
      </w:r>
      <w:r>
        <w:rPr>
          <w:rFonts w:hint="eastAsia" w:cs="Times New Roman"/>
          <w:kern w:val="2"/>
          <w:sz w:val="21"/>
          <w:szCs w:val="21"/>
          <w:lang w:val="en-US" w:eastAsia="zh-CN" w:bidi="ar-SA"/>
        </w:rPr>
        <w:t>O(f)</w:t>
      </w:r>
      <w:r>
        <w:rPr>
          <w:rFonts w:hint="eastAsia" w:ascii="Times New Roman" w:hAnsi="Times New Roman" w:eastAsia="宋体" w:cs="Times New Roman"/>
          <w:kern w:val="2"/>
          <w:sz w:val="21"/>
          <w:szCs w:val="21"/>
          <w:lang w:val="en-US" w:eastAsia="zh-CN" w:bidi="ar-SA"/>
        </w:rPr>
        <w:t>以及迭代代数</w:t>
      </w:r>
      <w:r>
        <w:rPr>
          <w:rFonts w:hint="eastAsia" w:cs="Times New Roman"/>
          <w:kern w:val="2"/>
          <w:sz w:val="21"/>
          <w:szCs w:val="21"/>
          <w:lang w:val="en-US" w:eastAsia="zh-CN" w:bidi="ar-SA"/>
        </w:rPr>
        <w:t>G</w:t>
      </w:r>
      <w:r>
        <w:rPr>
          <w:rFonts w:hint="eastAsia" w:ascii="Times New Roman" w:hAnsi="Times New Roman" w:eastAsia="宋体" w:cs="Times New Roman"/>
          <w:kern w:val="2"/>
          <w:sz w:val="21"/>
          <w:szCs w:val="21"/>
          <w:lang w:val="en-US" w:eastAsia="zh-CN" w:bidi="ar-SA"/>
        </w:rPr>
        <w:t>，整体复杂度通常为</w:t>
      </w:r>
      <w:r>
        <w:rPr>
          <w:rFonts w:hint="eastAsia" w:cs="Times New Roman"/>
          <w:kern w:val="2"/>
          <w:sz w:val="21"/>
          <w:szCs w:val="21"/>
          <w:lang w:val="en-US" w:eastAsia="zh-CN" w:bidi="ar-SA"/>
        </w:rPr>
        <w:t>O(PfG)</w:t>
      </w:r>
      <w:r>
        <w:rPr>
          <w:rFonts w:hint="eastAsia" w:ascii="Times New Roman" w:hAnsi="Times New Roman" w:eastAsia="宋体" w:cs="Times New Roman"/>
          <w:kern w:val="2"/>
          <w:sz w:val="21"/>
          <w:szCs w:val="21"/>
          <w:lang w:val="en-US" w:eastAsia="zh-CN" w:bidi="ar-SA"/>
        </w:rPr>
        <w:t>。由于 GA 需要对每一代种群的个体进行适应度评估，并执行交叉和变异操作，因此在大规模数据集上，其计算代价较高，尤其当适应度计算涉及复杂优化时，计算时间可能显著增加。</w:t>
      </w:r>
    </w:p>
    <w:p w14:paraId="3C7CC28E">
      <w:pPr>
        <w:pStyle w:val="12"/>
        <w:keepNext w:val="0"/>
        <w:keepLines w:val="0"/>
        <w:widowControl/>
        <w:suppressLineNumbers w:val="0"/>
        <w:spacing w:before="0" w:beforeAutospacing="1" w:after="0" w:afterAutospacing="1"/>
        <w:ind w:left="0" w:right="0"/>
        <w:rPr>
          <w:rFonts w:hint="default"/>
          <w:szCs w:val="21"/>
          <w:lang w:val="en-US" w:eastAsia="zh-CN"/>
        </w:rPr>
      </w:pPr>
      <w:r>
        <w:rPr>
          <w:rFonts w:hint="eastAsia" w:cs="Times New Roman"/>
          <w:kern w:val="2"/>
          <w:sz w:val="21"/>
          <w:szCs w:val="21"/>
          <w:lang w:val="en-US" w:eastAsia="zh-CN" w:bidi="ar-SA"/>
        </w:rPr>
        <w:tab/>
      </w:r>
      <w:r>
        <w:rPr>
          <w:rFonts w:hint="eastAsia" w:ascii="Times New Roman" w:hAnsi="Times New Roman" w:eastAsia="宋体" w:cs="Times New Roman"/>
          <w:kern w:val="2"/>
          <w:sz w:val="21"/>
          <w:szCs w:val="21"/>
          <w:lang w:val="en-US" w:eastAsia="zh-CN" w:bidi="ar-SA"/>
        </w:rPr>
        <w:t>由于本研究中使用的数据规模相对较小，因此无论是 K-Means 还是GA，在计算过程中都能够较为快速地完成迭代和优化。K-Means 由于其线性时间复杂度，在小规模数据集上能够迅速收敛，而不受计算资源的限制。</w:t>
      </w:r>
      <w:r>
        <w:rPr>
          <w:rFonts w:hint="eastAsia" w:cs="Times New Roman"/>
          <w:kern w:val="2"/>
          <w:sz w:val="21"/>
          <w:szCs w:val="21"/>
          <w:lang w:val="en-US" w:eastAsia="zh-CN" w:bidi="ar-SA"/>
        </w:rPr>
        <w:t>实测K-Means-GA算法运行时间在100秒左右。</w:t>
      </w:r>
    </w:p>
    <w:p w14:paraId="689324E5">
      <w:pPr>
        <w:spacing w:before="156" w:beforeLines="50" w:after="156" w:afterLines="50"/>
        <w:ind w:firstLine="420" w:firstLineChars="0"/>
        <w:jc w:val="left"/>
        <w:outlineLvl w:val="9"/>
        <w:rPr>
          <w:rFonts w:hint="eastAsia"/>
          <w:szCs w:val="21"/>
        </w:rPr>
      </w:pPr>
    </w:p>
    <w:p w14:paraId="50DCF5CC">
      <w:pPr>
        <w:spacing w:before="156" w:beforeLines="50" w:after="156" w:afterLines="50"/>
        <w:jc w:val="center"/>
        <w:outlineLvl w:val="0"/>
        <w:rPr>
          <w:rFonts w:hint="eastAsia" w:eastAsia="黑体"/>
          <w:b/>
          <w:bCs/>
          <w:sz w:val="30"/>
          <w:szCs w:val="30"/>
          <w:lang w:val="en-US" w:eastAsia="zh-CN"/>
        </w:rPr>
      </w:pPr>
      <w:bookmarkStart w:id="140" w:name="_Toc21763"/>
      <w:bookmarkStart w:id="141" w:name="_Toc15437"/>
      <w:bookmarkStart w:id="142" w:name="_Toc13653"/>
      <w:r>
        <w:rPr>
          <w:rFonts w:eastAsia="黑体"/>
          <w:b/>
          <w:bCs/>
          <w:sz w:val="30"/>
          <w:szCs w:val="30"/>
        </w:rPr>
        <w:t xml:space="preserve">5 </w:t>
      </w:r>
      <w:bookmarkEnd w:id="140"/>
      <w:bookmarkEnd w:id="141"/>
      <w:r>
        <w:rPr>
          <w:rFonts w:hint="eastAsia" w:eastAsia="黑体"/>
          <w:b/>
          <w:bCs/>
          <w:sz w:val="30"/>
          <w:szCs w:val="30"/>
          <w:lang w:val="en-US" w:eastAsia="zh-CN"/>
        </w:rPr>
        <w:t>结论</w:t>
      </w:r>
      <w:bookmarkEnd w:id="142"/>
    </w:p>
    <w:p w14:paraId="3B8AB4B3">
      <w:pPr>
        <w:spacing w:before="156" w:beforeLines="50" w:after="156" w:afterLines="50"/>
        <w:outlineLvl w:val="1"/>
        <w:rPr>
          <w:rFonts w:hint="default" w:eastAsia="黑体"/>
          <w:b/>
          <w:bCs/>
          <w:sz w:val="28"/>
          <w:szCs w:val="28"/>
          <w:lang w:val="en-US" w:eastAsia="zh-CN"/>
        </w:rPr>
      </w:pPr>
      <w:bookmarkStart w:id="143" w:name="_Toc3355"/>
      <w:r>
        <w:rPr>
          <w:rFonts w:hint="eastAsia" w:eastAsia="黑体"/>
          <w:b/>
          <w:bCs/>
          <w:sz w:val="28"/>
          <w:szCs w:val="28"/>
          <w:lang w:val="en-US" w:eastAsia="zh-CN"/>
        </w:rPr>
        <w:t>5.1 内容回顾</w:t>
      </w:r>
      <w:bookmarkEnd w:id="143"/>
    </w:p>
    <w:p w14:paraId="58440F99">
      <w:pPr>
        <w:pStyle w:val="12"/>
        <w:keepNext w:val="0"/>
        <w:keepLines w:val="0"/>
        <w:widowControl/>
        <w:suppressLineNumbers w:val="0"/>
        <w:spacing w:before="0" w:beforeAutospacing="1" w:after="0" w:afterAutospacing="1"/>
        <w:ind w:left="0" w:right="0" w:firstLine="420" w:firstLineChars="0"/>
        <w:rPr>
          <w:rFonts w:hint="eastAsia" w:ascii="Times New Roman" w:hAnsi="Times New Roman" w:eastAsia="宋体" w:cs="Times New Roman"/>
          <w:kern w:val="2"/>
          <w:sz w:val="21"/>
          <w:szCs w:val="21"/>
          <w:lang w:val="en-US" w:eastAsia="zh-CN" w:bidi="ar-SA"/>
        </w:rPr>
      </w:pPr>
      <w:bookmarkStart w:id="144" w:name="_Toc26940"/>
      <w:bookmarkStart w:id="145" w:name="_Toc29700"/>
      <w:bookmarkStart w:id="146" w:name="_Toc27236"/>
      <w:r>
        <w:rPr>
          <w:rFonts w:hint="default" w:ascii="Times New Roman" w:hAnsi="Times New Roman" w:eastAsia="宋体" w:cs="Times New Roman"/>
          <w:kern w:val="2"/>
          <w:sz w:val="21"/>
          <w:szCs w:val="21"/>
          <w:lang w:val="en-US" w:eastAsia="zh-CN" w:bidi="ar-SA"/>
        </w:rPr>
        <w:t>本研究围绕医保集采药品配送路径优化问题展开，针对当前配送模式效率低下、成本高昂的现状，创新性地将遗传算法与K-Means聚类相结合，提出了一套完整的解决方案。随着我国人口老龄化加剧和医保集采政策全面推行，传统依赖人工经验的配送方式已难以满足实际需求。特别是在医保药品配送这一特殊场景下，不仅需要考虑常规的物流因素，还必须兼顾政策合规性、药品特殊性等要求。这一现实背景促使我们探索更智能、更高效的配送路径优化方法。</w:t>
      </w:r>
    </w:p>
    <w:p w14:paraId="46E86E6D">
      <w:pPr>
        <w:pStyle w:val="12"/>
        <w:keepNext w:val="0"/>
        <w:keepLines w:val="0"/>
        <w:widowControl/>
        <w:suppressLineNumbers w:val="0"/>
        <w:spacing w:before="0" w:beforeAutospacing="1" w:after="0" w:afterAutospacing="1"/>
        <w:ind w:left="0" w:right="0" w:firstLine="420" w:firstLineChars="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在具体研究过程中，我们首先对深圳市零售药店的空间分布和需求特征进行了深入分析。通过K-Means聚类算法，以药店的经纬度坐标和需求量为特征，将全市划分为若干配送区域。这一步骤的关键在于数据预处理，我们采用箱线图剔除异常值，并使用Min-Max归一化方法消除量纲差异，确保聚类结果的可靠性。实验表明，经过科学划分后的区域内部需求相似性显著提高，这为后续路径优化奠定了良好基础。</w:t>
      </w:r>
    </w:p>
    <w:p w14:paraId="4691B9F6">
      <w:pPr>
        <w:pStyle w:val="12"/>
        <w:keepNext w:val="0"/>
        <w:keepLines w:val="0"/>
        <w:widowControl/>
        <w:suppressLineNumbers w:val="0"/>
        <w:spacing w:before="0" w:beforeAutospacing="1" w:after="0" w:afterAutospacing="1"/>
        <w:ind w:left="0" w:right="0" w:firstLine="420" w:firstLineChars="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基于区域划分结果，我们构建了专门针对医保药品配送的路径优化模型。该模型充分考虑了实际配送中的多重约束条件，包括车辆载重限制、仓储容量限制要求等。与普通物流模型不同，我们特别增加了政策合规性约束，例如</w:t>
      </w:r>
      <w:r>
        <w:rPr>
          <w:rFonts w:hint="eastAsia" w:cs="Times New Roman"/>
          <w:kern w:val="2"/>
          <w:sz w:val="21"/>
          <w:szCs w:val="21"/>
          <w:lang w:val="en-US" w:eastAsia="zh-CN" w:bidi="ar-SA"/>
        </w:rPr>
        <w:t>仅</w:t>
      </w:r>
      <w:r>
        <w:rPr>
          <w:rFonts w:hint="default" w:ascii="Times New Roman" w:hAnsi="Times New Roman" w:eastAsia="宋体" w:cs="Times New Roman"/>
          <w:kern w:val="2"/>
          <w:sz w:val="21"/>
          <w:szCs w:val="21"/>
          <w:lang w:val="en-US" w:eastAsia="zh-CN" w:bidi="ar-SA"/>
        </w:rPr>
        <w:t>配送</w:t>
      </w:r>
      <w:r>
        <w:rPr>
          <w:rFonts w:hint="eastAsia" w:cs="Times New Roman"/>
          <w:kern w:val="2"/>
          <w:sz w:val="21"/>
          <w:szCs w:val="21"/>
          <w:lang w:val="en-US" w:eastAsia="zh-CN" w:bidi="ar-SA"/>
        </w:rPr>
        <w:t>医保</w:t>
      </w:r>
      <w:r>
        <w:rPr>
          <w:rFonts w:hint="default" w:ascii="Times New Roman" w:hAnsi="Times New Roman" w:eastAsia="宋体" w:cs="Times New Roman"/>
          <w:kern w:val="2"/>
          <w:sz w:val="21"/>
          <w:szCs w:val="21"/>
          <w:lang w:val="en-US" w:eastAsia="zh-CN" w:bidi="ar-SA"/>
        </w:rPr>
        <w:t>集采目录内药品。在算法设计上，</w:t>
      </w:r>
      <w:r>
        <w:rPr>
          <w:rFonts w:hint="eastAsia" w:cs="Times New Roman"/>
          <w:kern w:val="2"/>
          <w:sz w:val="21"/>
          <w:szCs w:val="21"/>
          <w:lang w:val="en-US" w:eastAsia="zh-CN" w:bidi="ar-SA"/>
        </w:rPr>
        <w:t>通过设置算法阈值来达到梯度下降的效果，使算法具备自动终止的能力，有效降低了迭代次数</w:t>
      </w:r>
      <w:r>
        <w:rPr>
          <w:rFonts w:hint="default" w:ascii="Times New Roman" w:hAnsi="Times New Roman" w:eastAsia="宋体" w:cs="Times New Roman"/>
          <w:kern w:val="2"/>
          <w:sz w:val="21"/>
          <w:szCs w:val="21"/>
          <w:lang w:val="en-US" w:eastAsia="zh-CN" w:bidi="ar-SA"/>
        </w:rPr>
        <w:t>，显著提升了求解效率。</w:t>
      </w:r>
    </w:p>
    <w:p w14:paraId="746FB323">
      <w:pPr>
        <w:pStyle w:val="12"/>
        <w:keepNext w:val="0"/>
        <w:keepLines w:val="0"/>
        <w:widowControl/>
        <w:suppressLineNumbers w:val="0"/>
        <w:spacing w:before="0" w:beforeAutospacing="1" w:after="0" w:afterAutospacing="1"/>
        <w:ind w:left="0" w:right="0" w:firstLine="420" w:firstLineChars="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为了验证方法的有效性，我们进行了系统的实验对比分析。将提出的K-Means-GA算法与传统模拟退火算法进行比较，结果显示新算法在多方面表现出显著优势。在配送距离方面，</w:t>
      </w:r>
      <w:r>
        <w:rPr>
          <w:rFonts w:hint="eastAsia" w:cs="Times New Roman"/>
          <w:kern w:val="2"/>
          <w:sz w:val="21"/>
          <w:szCs w:val="21"/>
          <w:lang w:val="en-US" w:eastAsia="zh-CN" w:bidi="ar-SA"/>
        </w:rPr>
        <w:t>较模拟退火算法计算出的距离</w:t>
      </w:r>
      <w:r>
        <w:rPr>
          <w:rFonts w:hint="default" w:ascii="Times New Roman" w:hAnsi="Times New Roman" w:eastAsia="宋体" w:cs="Times New Roman"/>
          <w:kern w:val="2"/>
          <w:sz w:val="21"/>
          <w:szCs w:val="21"/>
          <w:lang w:val="en-US" w:eastAsia="zh-CN" w:bidi="ar-SA"/>
        </w:rPr>
        <w:t>缩短了28.7%；在稳定性测试中，</w:t>
      </w:r>
      <w:r>
        <w:rPr>
          <w:rFonts w:hint="eastAsia" w:ascii="Times New Roman" w:hAnsi="Times New Roman" w:eastAsia="宋体" w:cs="Times New Roman"/>
          <w:kern w:val="2"/>
          <w:sz w:val="21"/>
          <w:szCs w:val="21"/>
          <w:lang w:val="en-US" w:eastAsia="zh-CN" w:bidi="ar-SA"/>
        </w:rPr>
        <w:t>10</w:t>
      </w:r>
      <w:r>
        <w:rPr>
          <w:rFonts w:hint="default" w:ascii="Times New Roman" w:hAnsi="Times New Roman" w:eastAsia="宋体" w:cs="Times New Roman"/>
          <w:kern w:val="2"/>
          <w:sz w:val="21"/>
          <w:szCs w:val="21"/>
          <w:lang w:val="en-US" w:eastAsia="zh-CN" w:bidi="ar-SA"/>
        </w:rPr>
        <w:t>次重复实验的适应度值标准差仅</w:t>
      </w:r>
      <w:r>
        <w:rPr>
          <w:rFonts w:hint="eastAsia" w:cs="Times New Roman"/>
          <w:kern w:val="2"/>
          <w:sz w:val="21"/>
          <w:szCs w:val="21"/>
          <w:lang w:val="en-US" w:eastAsia="zh-CN" w:bidi="ar-SA"/>
        </w:rPr>
        <w:t>在</w:t>
      </w:r>
      <w:r>
        <w:rPr>
          <w:rFonts w:hint="eastAsia" w:ascii="Times New Roman" w:hAnsi="Times New Roman" w:eastAsia="宋体" w:cs="Times New Roman"/>
          <w:kern w:val="2"/>
          <w:sz w:val="21"/>
          <w:szCs w:val="21"/>
          <w:lang w:val="en-US" w:eastAsia="zh-CN" w:bidi="ar-SA"/>
        </w:rPr>
        <w:t>0.005左右。</w:t>
      </w:r>
    </w:p>
    <w:p w14:paraId="01156422">
      <w:pPr>
        <w:spacing w:before="156" w:beforeLines="50" w:after="156" w:afterLines="50"/>
        <w:outlineLvl w:val="1"/>
        <w:rPr>
          <w:rFonts w:hint="eastAsia" w:eastAsia="黑体"/>
          <w:b/>
          <w:bCs/>
          <w:sz w:val="28"/>
          <w:szCs w:val="28"/>
          <w:lang w:val="en-US" w:eastAsia="zh-CN"/>
        </w:rPr>
      </w:pPr>
      <w:r>
        <w:rPr>
          <w:rFonts w:eastAsia="黑体"/>
          <w:b/>
          <w:bCs/>
          <w:sz w:val="28"/>
          <w:szCs w:val="28"/>
        </w:rPr>
        <w:t>5.</w:t>
      </w:r>
      <w:r>
        <w:rPr>
          <w:rFonts w:hint="eastAsia" w:eastAsia="黑体"/>
          <w:b/>
          <w:bCs/>
          <w:sz w:val="28"/>
          <w:szCs w:val="28"/>
          <w:lang w:val="en-US" w:eastAsia="zh-CN"/>
        </w:rPr>
        <w:t>2</w:t>
      </w:r>
      <w:r>
        <w:rPr>
          <w:rFonts w:eastAsia="黑体"/>
          <w:b/>
          <w:bCs/>
          <w:sz w:val="28"/>
          <w:szCs w:val="28"/>
        </w:rPr>
        <w:t xml:space="preserve"> </w:t>
      </w:r>
      <w:bookmarkEnd w:id="144"/>
      <w:bookmarkEnd w:id="145"/>
      <w:r>
        <w:rPr>
          <w:rFonts w:hint="eastAsia" w:eastAsia="黑体"/>
          <w:b/>
          <w:bCs/>
          <w:sz w:val="28"/>
          <w:szCs w:val="28"/>
          <w:lang w:val="en-US" w:eastAsia="zh-CN"/>
        </w:rPr>
        <w:t>研究局限与展望</w:t>
      </w:r>
      <w:bookmarkEnd w:id="146"/>
    </w:p>
    <w:p w14:paraId="26463E21">
      <w:pPr>
        <w:spacing w:before="156" w:beforeLines="50" w:after="156" w:afterLines="50"/>
        <w:ind w:firstLine="420" w:firstLineChars="0"/>
        <w:outlineLvl w:val="9"/>
        <w:rPr>
          <w:rFonts w:hint="default" w:ascii="Times New Roman" w:hAnsi="Times New Roman" w:eastAsia="宋体" w:cs="Times New Roman"/>
          <w:szCs w:val="21"/>
        </w:rPr>
      </w:pPr>
      <w:r>
        <w:rPr>
          <w:rFonts w:hint="default" w:ascii="Times New Roman" w:hAnsi="Times New Roman" w:eastAsia="宋体"/>
          <w:szCs w:val="21"/>
        </w:rPr>
        <w:t>尽管本研究取得了部分积极的成果</w:t>
      </w:r>
      <w:r>
        <w:rPr>
          <w:rFonts w:hint="default" w:ascii="Times New Roman" w:hAnsi="Times New Roman" w:eastAsia="宋体" w:cs="Times New Roman"/>
          <w:szCs w:val="21"/>
        </w:rPr>
        <w:t>，但也存在一些局限性。例如，在需求量模拟方面，本研究采用自定义线性函数来估算药品需求量，主要考虑了人口和季节因素的影响。然而，实际药品需求受到多种复杂因素的影响，例如突发公共卫生事件（如流感爆发）和疾病流行等，这些因素可能导致药品需求出现非线性增长。未能充分涵盖这些因素可能会影响需求量预测的准确性。此外，在车辆选择方面，本研究仅考虑了单一车型（货拉拉中型货车），未能涵盖多种车型组合的情况。在实际配送场景中，不同类型的车辆在载重、容积和运行成本上存在差异。采用单一车型可能无法充分利用车辆资源，导致配送成本增加。</w:t>
      </w:r>
    </w:p>
    <w:p w14:paraId="5E9124F8">
      <w:pPr>
        <w:spacing w:before="156" w:beforeLines="50" w:after="156" w:afterLines="50"/>
        <w:ind w:firstLine="420" w:firstLineChars="0"/>
        <w:outlineLvl w:val="9"/>
        <w:rPr>
          <w:rFonts w:hint="default" w:ascii="Times New Roman" w:hAnsi="Times New Roman" w:eastAsia="宋体" w:cs="Times New Roman"/>
          <w:szCs w:val="21"/>
        </w:rPr>
      </w:pPr>
      <w:r>
        <w:rPr>
          <w:rFonts w:hint="default" w:ascii="Times New Roman" w:hAnsi="Times New Roman" w:eastAsia="宋体" w:cs="Times New Roman"/>
          <w:szCs w:val="21"/>
        </w:rPr>
        <w:t>本研究为城市物流配送车辆路径优化提供了可行方案，但未来仍有多个方向值得深入探索。首先，可引入突发公共卫生事件、季节性疾病流行等动态因素，构建更精细化的药品需求预测模型，以提升配送资源规划的预见性。其次，需进一步考虑不同车型在载重能力、装载容积和运输成本等方面的差异，建立多车型协同配送优化模型，实现运力资源的精准匹配。第三，应开发融合实时交通数据、天气状况和突发事件的动态路径优化机制，通过在线学习算法提升系统响应能力。最后，在算法层面可探索图神经网络与元启发式算法的结合，或设计面向空间聚类任务的改进K-Means++算法，</w:t>
      </w:r>
      <w:r>
        <w:rPr>
          <w:rFonts w:hint="default" w:ascii="Times New Roman" w:hAnsi="Times New Roman" w:eastAsia="宋体"/>
          <w:szCs w:val="21"/>
        </w:rPr>
        <w:t>以不断优化配送效率并减少运营开支。</w:t>
      </w:r>
      <w:r>
        <w:rPr>
          <w:rFonts w:hint="default" w:ascii="Times New Roman" w:hAnsi="Times New Roman" w:eastAsia="宋体" w:cs="Times New Roman"/>
          <w:szCs w:val="21"/>
        </w:rPr>
        <w:t>这些改进方向将为智慧物流系统的实际应用提供更强大的理论支撑。</w:t>
      </w:r>
    </w:p>
    <w:p w14:paraId="7DFC792B">
      <w:pPr>
        <w:spacing w:before="156" w:beforeLines="50" w:after="156" w:afterLines="50"/>
        <w:outlineLvl w:val="0"/>
        <w:rPr>
          <w:rFonts w:ascii="楷体" w:hAnsi="楷体" w:eastAsia="楷体"/>
          <w:b/>
          <w:bCs/>
          <w:szCs w:val="21"/>
        </w:rPr>
      </w:pPr>
      <w:r>
        <w:rPr>
          <w:szCs w:val="21"/>
        </w:rPr>
        <w:br w:type="page"/>
      </w:r>
      <w:bookmarkStart w:id="147" w:name="_Toc13625"/>
      <w:bookmarkStart w:id="148" w:name="_Toc9961"/>
      <w:bookmarkStart w:id="149" w:name="_Toc21253"/>
      <w:r>
        <w:rPr>
          <w:rFonts w:hint="eastAsia" w:ascii="楷体" w:hAnsi="楷体" w:eastAsia="楷体"/>
          <w:b/>
          <w:bCs/>
          <w:szCs w:val="21"/>
        </w:rPr>
        <w:t>参考文献</w:t>
      </w:r>
      <w:bookmarkEnd w:id="147"/>
      <w:bookmarkEnd w:id="148"/>
      <w:bookmarkEnd w:id="149"/>
    </w:p>
    <w:p w14:paraId="7886B429">
      <w:pPr>
        <w:numPr>
          <w:ilvl w:val="0"/>
          <w:numId w:val="4"/>
        </w:numPr>
        <w:spacing w:before="156" w:beforeLines="50" w:after="156" w:afterLines="50"/>
        <w:rPr>
          <w:rFonts w:eastAsia="楷体"/>
          <w:sz w:val="18"/>
          <w:szCs w:val="18"/>
        </w:rPr>
      </w:pPr>
      <w:r>
        <w:rPr>
          <w:rFonts w:eastAsia="楷体"/>
          <w:sz w:val="18"/>
          <w:szCs w:val="18"/>
        </w:rPr>
        <w:t>陈海木，刘冬荣，陈贤灿，李晨睿．基于VRP技术的"弹性"送货模式探索与实践[J]．物流技术与应用，2024，29(3)：164-168．</w:t>
      </w:r>
    </w:p>
    <w:p w14:paraId="5190C856">
      <w:pPr>
        <w:numPr>
          <w:ilvl w:val="0"/>
          <w:numId w:val="4"/>
        </w:numPr>
        <w:spacing w:before="156" w:beforeLines="50" w:after="156" w:afterLines="50"/>
        <w:rPr>
          <w:rFonts w:eastAsia="楷体"/>
          <w:sz w:val="18"/>
          <w:szCs w:val="18"/>
        </w:rPr>
      </w:pPr>
      <w:r>
        <w:rPr>
          <w:rFonts w:eastAsia="楷体"/>
          <w:sz w:val="18"/>
          <w:szCs w:val="18"/>
        </w:rPr>
        <w:t>王长琼，王艳丽，邱杰，曹乜蜻，刘晓宇．基于TLV三维约束的多配送中心VRP问题[J]．物流技术，2017，36(12)：95-99．</w:t>
      </w:r>
    </w:p>
    <w:p w14:paraId="23C1877B">
      <w:pPr>
        <w:numPr>
          <w:ilvl w:val="0"/>
          <w:numId w:val="4"/>
        </w:numPr>
        <w:spacing w:before="156" w:beforeLines="50" w:after="156" w:afterLines="50"/>
        <w:rPr>
          <w:rFonts w:eastAsia="楷体"/>
          <w:sz w:val="18"/>
          <w:szCs w:val="18"/>
        </w:rPr>
      </w:pPr>
      <w:r>
        <w:rPr>
          <w:rFonts w:eastAsia="楷体"/>
          <w:sz w:val="18"/>
          <w:szCs w:val="18"/>
        </w:rPr>
        <w:t>代西红．医药冷链物流配送路径优化问题研究[D]．中原工学院，2023．</w:t>
      </w:r>
    </w:p>
    <w:p w14:paraId="552CEFD1">
      <w:pPr>
        <w:numPr>
          <w:ilvl w:val="0"/>
          <w:numId w:val="4"/>
        </w:numPr>
        <w:spacing w:before="156" w:beforeLines="50" w:after="156" w:afterLines="50"/>
        <w:rPr>
          <w:rFonts w:eastAsia="楷体"/>
          <w:sz w:val="18"/>
          <w:szCs w:val="18"/>
        </w:rPr>
      </w:pPr>
      <w:r>
        <w:rPr>
          <w:rFonts w:hint="default" w:eastAsia="楷体"/>
          <w:sz w:val="18"/>
          <w:szCs w:val="18"/>
        </w:rPr>
        <w:t>胡剑玫．带时间窗的医药物流配送路径优化问题研究[D]．江西财经大学，2020．</w:t>
      </w:r>
    </w:p>
    <w:p w14:paraId="6445A0E4">
      <w:pPr>
        <w:numPr>
          <w:ilvl w:val="0"/>
          <w:numId w:val="4"/>
        </w:numPr>
        <w:spacing w:before="156" w:beforeLines="50" w:after="156" w:afterLines="50"/>
        <w:rPr>
          <w:rFonts w:eastAsia="楷体"/>
          <w:sz w:val="18"/>
          <w:szCs w:val="18"/>
        </w:rPr>
      </w:pPr>
      <w:r>
        <w:rPr>
          <w:rFonts w:hint="default" w:eastAsia="楷体"/>
          <w:sz w:val="18"/>
          <w:szCs w:val="18"/>
        </w:rPr>
        <w:t>闫淼，初良勇．不同车型新能源车在城市冷链物流配送中的路径优化[J]．上海海事大学学报，2022，43(4)：51-59．</w:t>
      </w:r>
    </w:p>
    <w:p w14:paraId="7D2C80F8">
      <w:pPr>
        <w:numPr>
          <w:ilvl w:val="0"/>
          <w:numId w:val="4"/>
        </w:numPr>
        <w:spacing w:before="156" w:beforeLines="50" w:after="156" w:afterLines="50"/>
        <w:rPr>
          <w:rFonts w:eastAsia="楷体"/>
          <w:sz w:val="18"/>
          <w:szCs w:val="18"/>
        </w:rPr>
      </w:pPr>
      <w:r>
        <w:rPr>
          <w:rFonts w:hint="default" w:eastAsia="楷体"/>
          <w:sz w:val="18"/>
          <w:szCs w:val="18"/>
        </w:rPr>
        <w:t>史亚蓉，万迪昉，李双燕，吕珍玉．基于GIS的物流配送路线规划研究[J]．系统工程理论与实践，2009，29(10)：76-84．</w:t>
      </w:r>
    </w:p>
    <w:p w14:paraId="16AC3B1D">
      <w:pPr>
        <w:numPr>
          <w:ilvl w:val="0"/>
          <w:numId w:val="4"/>
        </w:numPr>
        <w:spacing w:before="156" w:beforeLines="50" w:after="156" w:afterLines="50"/>
        <w:rPr>
          <w:rFonts w:eastAsia="楷体"/>
          <w:sz w:val="18"/>
          <w:szCs w:val="18"/>
        </w:rPr>
      </w:pPr>
      <w:r>
        <w:rPr>
          <w:rFonts w:hint="default" w:eastAsia="楷体"/>
          <w:sz w:val="18"/>
          <w:szCs w:val="18"/>
        </w:rPr>
        <w:t>谷炜，张群，胡睿．基于改进K-means聚类的物流配送区域划分方法研究[J]．中国管理信息化，2010，13(24)：60-63．</w:t>
      </w:r>
    </w:p>
    <w:p w14:paraId="3A36F879">
      <w:pPr>
        <w:numPr>
          <w:ilvl w:val="0"/>
          <w:numId w:val="4"/>
        </w:numPr>
        <w:spacing w:before="156" w:beforeLines="50" w:after="156" w:afterLines="50"/>
        <w:rPr>
          <w:rFonts w:eastAsia="楷体"/>
          <w:sz w:val="18"/>
          <w:szCs w:val="18"/>
        </w:rPr>
      </w:pPr>
      <w:r>
        <w:rPr>
          <w:rFonts w:hint="eastAsia" w:eastAsia="楷体"/>
          <w:color w:val="000000"/>
          <w:sz w:val="18"/>
          <w:szCs w:val="18"/>
        </w:rPr>
        <w:t>李楠,辛春阳.基于聚类-Floyd-遗传算法的“车辆+无人机”城市物流配送路径优化[J].科学技术与工程,2024,24(21):9186-9193</w:t>
      </w:r>
    </w:p>
    <w:p w14:paraId="1374F2CB">
      <w:pPr>
        <w:numPr>
          <w:ilvl w:val="0"/>
          <w:numId w:val="4"/>
        </w:numPr>
        <w:spacing w:before="156" w:beforeLines="50" w:after="156" w:afterLines="50"/>
        <w:rPr>
          <w:rFonts w:eastAsia="楷体"/>
          <w:sz w:val="18"/>
          <w:szCs w:val="18"/>
        </w:rPr>
      </w:pPr>
      <w:r>
        <w:rPr>
          <w:rFonts w:hint="default" w:eastAsia="楷体"/>
          <w:sz w:val="18"/>
          <w:szCs w:val="18"/>
        </w:rPr>
        <w:t>Wang Z, Sheu J B. Vehicle routing problem with drones[J]. Transportation Research Part B: Methodological, 2019, 122: 350-364. DOI:10.1016/j.trb.2019.03.005.</w:t>
      </w:r>
    </w:p>
    <w:p w14:paraId="66202E25">
      <w:pPr>
        <w:numPr>
          <w:ilvl w:val="0"/>
          <w:numId w:val="4"/>
        </w:numPr>
        <w:spacing w:before="156" w:beforeLines="50" w:after="156" w:afterLines="50"/>
        <w:rPr>
          <w:rFonts w:eastAsia="楷体"/>
          <w:sz w:val="18"/>
          <w:szCs w:val="18"/>
        </w:rPr>
      </w:pPr>
      <w:r>
        <w:rPr>
          <w:rFonts w:hint="default" w:eastAsia="楷体"/>
          <w:sz w:val="18"/>
          <w:szCs w:val="18"/>
        </w:rPr>
        <w:t>Yu S W, Ding C, Zhu K J. A hybrid GA-TS algorithm for open vehicle routing optimization of coal mines material[J]. Expert Systems with Applications, 2011, 38(8): 10568-10573. DOI:10.1016/j.eswa.2011.02.108.</w:t>
      </w:r>
    </w:p>
    <w:p w14:paraId="38492388">
      <w:pPr>
        <w:numPr>
          <w:ilvl w:val="0"/>
          <w:numId w:val="4"/>
        </w:numPr>
        <w:spacing w:before="156" w:beforeLines="50" w:after="156" w:afterLines="50"/>
        <w:rPr>
          <w:rFonts w:eastAsia="楷体"/>
          <w:sz w:val="18"/>
          <w:szCs w:val="18"/>
        </w:rPr>
      </w:pPr>
      <w:r>
        <w:rPr>
          <w:rFonts w:hint="default" w:eastAsia="楷体"/>
          <w:sz w:val="18"/>
          <w:szCs w:val="18"/>
        </w:rPr>
        <w:t>Kramer R, Cordeau J F, Iori M. Rich vehicle routing with auxiliary depots and anticipated deliveries: An application to pharmaceutical distribution[J]. Transportation Research Part E: Logistics and Transportation Review, 2019, 129: 162-174. DOI:10.1016/j.tre.2019.07.012.</w:t>
      </w:r>
    </w:p>
    <w:p w14:paraId="39E4C213">
      <w:pPr>
        <w:spacing w:before="156" w:beforeLines="50" w:after="156" w:afterLines="50"/>
        <w:rPr>
          <w:rFonts w:eastAsia="楷体"/>
          <w:color w:val="000000"/>
          <w:sz w:val="18"/>
          <w:szCs w:val="18"/>
        </w:rPr>
      </w:pPr>
      <w:r>
        <w:rPr>
          <w:rFonts w:eastAsia="楷体"/>
          <w:sz w:val="18"/>
          <w:szCs w:val="21"/>
        </w:rPr>
        <w:t>[1</w:t>
      </w:r>
      <w:r>
        <w:rPr>
          <w:rFonts w:hint="eastAsia" w:eastAsia="楷体"/>
          <w:sz w:val="18"/>
          <w:szCs w:val="21"/>
          <w:lang w:val="en-US" w:eastAsia="zh-CN"/>
        </w:rPr>
        <w:t>2</w:t>
      </w:r>
      <w:r>
        <w:rPr>
          <w:rFonts w:eastAsia="楷体"/>
          <w:sz w:val="18"/>
          <w:szCs w:val="21"/>
        </w:rPr>
        <w:t xml:space="preserve">] </w:t>
      </w:r>
      <w:r>
        <w:rPr>
          <w:rFonts w:hint="eastAsia" w:eastAsia="楷体"/>
          <w:sz w:val="18"/>
          <w:szCs w:val="21"/>
        </w:rPr>
        <w:t>Hyungbin Park, Dongmin Son, Bonwoo Koo, Bongju Jeong,Waiting strategy for the vehicle routing problem with simultaneous pickup and delivery using genetic algorithm,Expert Systems with Applications,Volume 165,2021,113959,ISSN 0957-4174</w:t>
      </w:r>
      <w:r>
        <w:rPr>
          <w:rFonts w:hint="eastAsia" w:eastAsia="楷体"/>
          <w:sz w:val="18"/>
          <w:szCs w:val="21"/>
          <w:lang w:val="en-US" w:eastAsia="zh-CN"/>
        </w:rPr>
        <w:t>.</w:t>
      </w:r>
    </w:p>
    <w:p w14:paraId="22049BB2">
      <w:pPr>
        <w:spacing w:before="156" w:beforeLines="50" w:after="156" w:afterLines="50"/>
        <w:jc w:val="center"/>
        <w:outlineLvl w:val="0"/>
        <w:rPr>
          <w:rFonts w:ascii="黑体" w:hAnsi="黑体" w:eastAsia="黑体"/>
          <w:b/>
          <w:bCs/>
          <w:sz w:val="24"/>
          <w:szCs w:val="16"/>
        </w:rPr>
      </w:pPr>
      <w:r>
        <w:rPr>
          <w:rFonts w:ascii="仿宋_GB2312" w:hAnsi="华文仿宋" w:eastAsia="仿宋_GB2312"/>
          <w:sz w:val="32"/>
          <w:szCs w:val="20"/>
        </w:rPr>
        <w:br w:type="page"/>
      </w:r>
      <w:bookmarkStart w:id="150" w:name="_Toc11692"/>
      <w:bookmarkStart w:id="151" w:name="_Toc1898"/>
      <w:bookmarkStart w:id="152" w:name="_Toc20949"/>
      <w:r>
        <w:rPr>
          <w:rFonts w:hint="eastAsia" w:ascii="黑体" w:hAnsi="黑体" w:eastAsia="黑体"/>
          <w:b/>
          <w:bCs/>
          <w:sz w:val="24"/>
          <w:szCs w:val="16"/>
        </w:rPr>
        <w:t>致谢</w:t>
      </w:r>
      <w:bookmarkEnd w:id="150"/>
      <w:bookmarkEnd w:id="151"/>
      <w:bookmarkEnd w:id="152"/>
    </w:p>
    <w:p w14:paraId="10BC1D78">
      <w:pPr>
        <w:keepNext w:val="0"/>
        <w:keepLines w:val="0"/>
        <w:widowControl/>
        <w:suppressLineNumbers w:val="0"/>
        <w:jc w:val="left"/>
        <w:rPr>
          <w:rFonts w:ascii="Times New Roman" w:hAnsi="Times New Roman" w:eastAsia="宋体" w:cs="Times New Roman"/>
          <w:kern w:val="2"/>
          <w:sz w:val="21"/>
          <w:szCs w:val="21"/>
          <w:lang w:val="en-US" w:eastAsia="zh-CN" w:bidi="ar-SA"/>
        </w:rPr>
      </w:pPr>
      <w:r>
        <w:rPr>
          <w:rFonts w:hint="eastAsia" w:eastAsia="宋体"/>
          <w:szCs w:val="21"/>
          <w:lang w:val="en-US" w:eastAsia="zh-CN"/>
        </w:rPr>
        <w:tab/>
      </w:r>
      <w:r>
        <w:rPr>
          <w:rFonts w:ascii="Times New Roman" w:hAnsi="Times New Roman" w:eastAsia="宋体" w:cs="Times New Roman"/>
          <w:kern w:val="2"/>
          <w:sz w:val="21"/>
          <w:szCs w:val="21"/>
          <w:lang w:val="en-US" w:eastAsia="zh-CN" w:bidi="ar-SA"/>
        </w:rPr>
        <w:t>时光荏苒，行文至此，意味着我的研究即将告一段落。回望这段旅程，心中充满感激。感谢深圳大学，为我提供了优质的学习环境和丰富的科研资源。在这里，我不仅汲取了专业知识，更学会了独立思考与解决问题的能力。</w:t>
      </w:r>
    </w:p>
    <w:p w14:paraId="6751FFE0">
      <w:pPr>
        <w:keepNext w:val="0"/>
        <w:keepLines w:val="0"/>
        <w:widowControl/>
        <w:suppressLineNumbers w:val="0"/>
        <w:ind w:firstLine="420" w:firstLineChars="0"/>
        <w:jc w:val="left"/>
        <w:rPr>
          <w:rFonts w:ascii="Times New Roman" w:hAnsi="Times New Roman" w:eastAsia="宋体" w:cs="Times New Roman"/>
          <w:kern w:val="2"/>
          <w:sz w:val="21"/>
          <w:szCs w:val="21"/>
          <w:lang w:val="en-US" w:eastAsia="zh-CN" w:bidi="ar-SA"/>
        </w:rPr>
      </w:pPr>
      <w:r>
        <w:rPr>
          <w:rFonts w:ascii="Times New Roman" w:hAnsi="Times New Roman" w:eastAsia="宋体" w:cs="Times New Roman"/>
          <w:kern w:val="2"/>
          <w:sz w:val="21"/>
          <w:szCs w:val="21"/>
          <w:lang w:val="en-US" w:eastAsia="zh-CN" w:bidi="ar-SA"/>
        </w:rPr>
        <w:t>特别感谢我的指导老师蚁文洁</w:t>
      </w:r>
      <w:r>
        <w:rPr>
          <w:rFonts w:hint="eastAsia" w:ascii="Times New Roman" w:hAnsi="Times New Roman" w:eastAsia="宋体" w:cs="Times New Roman"/>
          <w:kern w:val="2"/>
          <w:sz w:val="21"/>
          <w:szCs w:val="21"/>
          <w:lang w:val="en-US" w:eastAsia="zh-CN" w:bidi="ar-SA"/>
        </w:rPr>
        <w:t>老师</w:t>
      </w:r>
      <w:r>
        <w:rPr>
          <w:rFonts w:ascii="Times New Roman" w:hAnsi="Times New Roman" w:eastAsia="宋体" w:cs="Times New Roman"/>
          <w:kern w:val="2"/>
          <w:sz w:val="21"/>
          <w:szCs w:val="21"/>
          <w:lang w:val="en-US" w:eastAsia="zh-CN" w:bidi="ar-SA"/>
        </w:rPr>
        <w:t>。感谢您在学术上的悉心指导，从选题到论文完成，您的严谨治学态度和耐心细致的建议让我受益匪浅。您不仅教会了我如何做研究，更让我明白了学术的严谨与坚持的意义。感谢我的家人和朋友，你们的支持与鼓励是我前进的动力。每当遇到困难，你们的陪伴让我重拾信心，继续前行。</w:t>
      </w:r>
    </w:p>
    <w:p w14:paraId="4AFF9D9A">
      <w:pPr>
        <w:keepNext w:val="0"/>
        <w:keepLines w:val="0"/>
        <w:widowControl/>
        <w:suppressLineNumbers w:val="0"/>
        <w:ind w:firstLine="420" w:firstLineChars="0"/>
        <w:jc w:val="left"/>
        <w:rPr>
          <w:rFonts w:ascii="Times New Roman" w:hAnsi="Times New Roman" w:eastAsia="宋体" w:cs="Times New Roman"/>
          <w:kern w:val="2"/>
          <w:sz w:val="21"/>
          <w:szCs w:val="21"/>
          <w:lang w:val="en-US" w:eastAsia="zh-CN" w:bidi="ar-SA"/>
        </w:rPr>
      </w:pPr>
      <w:r>
        <w:rPr>
          <w:rFonts w:ascii="Times New Roman" w:hAnsi="Times New Roman" w:eastAsia="宋体" w:cs="Times New Roman"/>
          <w:kern w:val="2"/>
          <w:sz w:val="21"/>
          <w:szCs w:val="21"/>
          <w:lang w:val="en-US" w:eastAsia="zh-CN" w:bidi="ar-SA"/>
        </w:rPr>
        <w:t>最后，感谢自己。感谢自己在每一个想要放弃的时刻选择坚持，在每一次迷茫时仍努力寻找方向。这段经历让我成长，也让我更加坚定未来的道路。</w:t>
      </w:r>
    </w:p>
    <w:p w14:paraId="323B102C">
      <w:pPr>
        <w:keepNext w:val="0"/>
        <w:keepLines w:val="0"/>
        <w:widowControl/>
        <w:suppressLineNumbers w:val="0"/>
        <w:ind w:firstLine="420" w:firstLineChars="0"/>
        <w:jc w:val="left"/>
        <w:rPr>
          <w:rFonts w:ascii="Times New Roman" w:hAnsi="Times New Roman" w:eastAsia="宋体" w:cs="Times New Roman"/>
          <w:kern w:val="2"/>
          <w:sz w:val="21"/>
          <w:szCs w:val="21"/>
          <w:lang w:val="en-US" w:eastAsia="zh-CN" w:bidi="ar-SA"/>
        </w:rPr>
      </w:pPr>
      <w:r>
        <w:rPr>
          <w:rFonts w:ascii="Times New Roman" w:hAnsi="Times New Roman" w:eastAsia="宋体" w:cs="Times New Roman"/>
          <w:kern w:val="2"/>
          <w:sz w:val="21"/>
          <w:szCs w:val="21"/>
          <w:lang w:val="en-US" w:eastAsia="zh-CN" w:bidi="ar-SA"/>
        </w:rPr>
        <w:t>谨以此文，献给所有帮助过我的人，也献给不曾轻言放弃的自己。</w:t>
      </w:r>
    </w:p>
    <w:p w14:paraId="497CC3BD">
      <w:pPr>
        <w:spacing w:before="156" w:beforeLines="50" w:after="156" w:afterLines="50"/>
        <w:ind w:firstLine="420" w:firstLineChars="200"/>
        <w:rPr>
          <w:rFonts w:hint="eastAsia" w:eastAsia="宋体"/>
          <w:szCs w:val="21"/>
          <w:lang w:eastAsia="zh-CN"/>
        </w:rPr>
      </w:pPr>
    </w:p>
    <w:p w14:paraId="4A22D7E3">
      <w:pPr>
        <w:spacing w:before="156" w:beforeLines="50" w:after="156" w:afterLines="50"/>
        <w:outlineLvl w:val="9"/>
        <w:rPr>
          <w:szCs w:val="21"/>
        </w:rPr>
      </w:pPr>
      <w:r>
        <w:rPr>
          <w:szCs w:val="21"/>
        </w:rPr>
        <w:br w:type="page"/>
      </w:r>
      <w:bookmarkStart w:id="153" w:name="_Toc20342"/>
      <w:bookmarkStart w:id="154" w:name="_Toc9650"/>
      <w:r>
        <w:rPr>
          <w:rFonts w:hint="eastAsia"/>
          <w:szCs w:val="21"/>
        </w:rPr>
        <w:t>【</w:t>
      </w:r>
      <w:r>
        <w:rPr>
          <w:rFonts w:hint="eastAsia"/>
          <w:b/>
          <w:bCs/>
          <w:sz w:val="24"/>
        </w:rPr>
        <w:t>Abstract】</w:t>
      </w:r>
      <w:bookmarkEnd w:id="153"/>
      <w:bookmarkEnd w:id="154"/>
      <w:r>
        <w:rPr>
          <w:rFonts w:hint="eastAsia"/>
          <w:szCs w:val="21"/>
        </w:rPr>
        <w:t>This study addresses the optimization of drug distribution routes for designated retail pharmacies under centralized procurement in medical insurance, proposing a hybrid approach combining K-Means clustering and genetic algorithm (GA). By analyzing the unique characteristics of medical insurance drug distribution—such as policy constraints, demand fluctuations, and regional disparities—the study utilizes geographical data from retail pharmacies in Shenzhen to partition distribution areas into three clusters via the K-Means algorithm, enabling efficient resource allocation. A route optimization model incorporating vehicle capacity, volume constraints, and access restrictions is developed, with GA employed to derive optimal delivery paths. Comparative validation against simulated annealing (SA) demonstrates the superior performance of the K-Means-GA algorithm (e.g., GA fitness value of 0.00686 vs. SA’s 0.00094 for Jiuzhoutong distribution center), achieving an average reduction of 28.7\% in total route distance, thereby lowering logistics costs and improving delivery efficiency. This research provides quantifiable decision-making support for precision drug distribution under centralized procurement, offering practical implications for optimizing healthcare resource allocation.</w:t>
      </w:r>
    </w:p>
    <w:p w14:paraId="439784E9">
      <w:pPr>
        <w:spacing w:before="156" w:beforeLines="50" w:after="156" w:afterLines="50"/>
        <w:rPr>
          <w:szCs w:val="21"/>
        </w:rPr>
      </w:pPr>
      <w:r>
        <w:rPr>
          <w:rFonts w:hint="eastAsia"/>
          <w:szCs w:val="21"/>
        </w:rPr>
        <w:t>【</w:t>
      </w:r>
      <w:r>
        <w:rPr>
          <w:b/>
          <w:bCs/>
          <w:sz w:val="24"/>
        </w:rPr>
        <w:t>Key words</w:t>
      </w:r>
      <w:r>
        <w:rPr>
          <w:rFonts w:hint="eastAsia"/>
          <w:szCs w:val="21"/>
        </w:rPr>
        <w:t>】Centralized drug procurement; Drug distribution route optimization; K-Means clustering; Genetic algorithm; Vehicle routing problem (VRP); Designated retail pharmacies</w:t>
      </w:r>
    </w:p>
    <w:p w14:paraId="1F6B2520">
      <w:pPr>
        <w:spacing w:before="156" w:beforeLines="50" w:after="156" w:afterLines="50"/>
        <w:jc w:val="center"/>
        <w:outlineLvl w:val="0"/>
        <w:rPr>
          <w:rFonts w:ascii="黑体" w:hAnsi="黑体" w:eastAsia="黑体"/>
          <w:b/>
          <w:bCs/>
          <w:sz w:val="24"/>
          <w:szCs w:val="16"/>
        </w:rPr>
      </w:pPr>
      <w:r>
        <w:rPr>
          <w:szCs w:val="21"/>
        </w:rPr>
        <w:br w:type="page"/>
      </w:r>
      <w:bookmarkStart w:id="155" w:name="_Toc18787"/>
      <w:bookmarkStart w:id="156" w:name="_Toc7332"/>
      <w:bookmarkStart w:id="157" w:name="_Toc30751"/>
      <w:r>
        <w:rPr>
          <w:rFonts w:hint="eastAsia" w:ascii="黑体" w:hAnsi="黑体" w:eastAsia="黑体"/>
          <w:b/>
          <w:bCs/>
          <w:sz w:val="24"/>
          <w:szCs w:val="16"/>
        </w:rPr>
        <w:t>附录</w:t>
      </w:r>
      <w:bookmarkEnd w:id="155"/>
      <w:bookmarkEnd w:id="156"/>
      <w:bookmarkEnd w:id="157"/>
    </w:p>
    <w:p w14:paraId="67634B44">
      <w:pPr>
        <w:spacing w:before="156" w:beforeLines="50" w:after="156" w:afterLines="50"/>
        <w:ind w:firstLine="420" w:firstLineChars="200"/>
        <w:rPr>
          <w:rFonts w:hint="eastAsia"/>
          <w:szCs w:val="21"/>
        </w:rPr>
      </w:pPr>
      <w:r>
        <w:rPr>
          <w:rFonts w:hint="eastAsia"/>
          <w:szCs w:val="21"/>
        </w:rPr>
        <w:t>某些重要的原始数据、关键代码、调查问卷、访谈提纲等。</w:t>
      </w:r>
    </w:p>
    <w:p w14:paraId="1EFAEDB1">
      <w:pPr>
        <w:spacing w:before="156" w:beforeLines="50" w:after="156" w:afterLines="50"/>
        <w:ind w:firstLine="420" w:firstLineChars="200"/>
        <w:rPr>
          <w:rFonts w:hint="eastAsia"/>
          <w:szCs w:val="21"/>
        </w:rPr>
      </w:pPr>
      <w:bookmarkStart w:id="158" w:name="_GoBack"/>
      <w:bookmarkEnd w:id="15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2241BD">
    <w:pPr>
      <w:pStyle w:val="8"/>
      <w:framePr w:wrap="around" w:vAnchor="text" w:hAnchor="margin" w:xAlign="center" w:y="1"/>
      <w:rPr>
        <w:rStyle w:val="18"/>
      </w:rPr>
    </w:pPr>
    <w:r>
      <w:rPr>
        <w:rStyle w:val="18"/>
      </w:rPr>
      <w:fldChar w:fldCharType="begin"/>
    </w:r>
    <w:r>
      <w:rPr>
        <w:rStyle w:val="18"/>
      </w:rPr>
      <w:instrText xml:space="preserve">PAGE  </w:instrText>
    </w:r>
    <w:r>
      <w:rPr>
        <w:rStyle w:val="18"/>
      </w:rPr>
      <w:fldChar w:fldCharType="end"/>
    </w:r>
  </w:p>
  <w:p w14:paraId="12E43FAD">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73E96D">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5C8E1F">
    <w:pPr>
      <w:pStyle w:val="8"/>
      <w:jc w:val="center"/>
    </w:pPr>
    <w:r>
      <w:fldChar w:fldCharType="begin"/>
    </w:r>
    <w:r>
      <w:instrText xml:space="preserve">PAGE   \* MERGEFORMAT</w:instrText>
    </w:r>
    <w:r>
      <w:fldChar w:fldCharType="separate"/>
    </w:r>
    <w:r>
      <w:rPr>
        <w:lang w:val="zh-CN"/>
      </w:rPr>
      <w:t>2</w:t>
    </w:r>
    <w:r>
      <w:fldChar w:fldCharType="end"/>
    </w:r>
  </w:p>
  <w:p w14:paraId="0087C484">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31DA14"/>
    <w:multiLevelType w:val="singleLevel"/>
    <w:tmpl w:val="D431DA14"/>
    <w:lvl w:ilvl="0" w:tentative="0">
      <w:start w:val="1"/>
      <w:numFmt w:val="decimal"/>
      <w:lvlText w:val="%1."/>
      <w:lvlJc w:val="left"/>
      <w:pPr>
        <w:tabs>
          <w:tab w:val="left" w:pos="845"/>
        </w:tabs>
        <w:ind w:left="845" w:leftChars="0" w:hanging="425" w:firstLineChars="0"/>
      </w:pPr>
      <w:rPr>
        <w:rFonts w:hint="default"/>
      </w:rPr>
    </w:lvl>
  </w:abstractNum>
  <w:abstractNum w:abstractNumId="1">
    <w:nsid w:val="2FCCF45A"/>
    <w:multiLevelType w:val="singleLevel"/>
    <w:tmpl w:val="2FCCF45A"/>
    <w:lvl w:ilvl="0" w:tentative="0">
      <w:start w:val="1"/>
      <w:numFmt w:val="decimal"/>
      <w:lvlText w:val="%1."/>
      <w:lvlJc w:val="left"/>
      <w:pPr>
        <w:ind w:left="425" w:hanging="425"/>
      </w:pPr>
      <w:rPr>
        <w:rFonts w:hint="default"/>
      </w:rPr>
    </w:lvl>
  </w:abstractNum>
  <w:abstractNum w:abstractNumId="2">
    <w:nsid w:val="381C25CF"/>
    <w:multiLevelType w:val="singleLevel"/>
    <w:tmpl w:val="381C25CF"/>
    <w:lvl w:ilvl="0" w:tentative="0">
      <w:start w:val="1"/>
      <w:numFmt w:val="decimal"/>
      <w:suff w:val="space"/>
      <w:lvlText w:val="[%1]"/>
      <w:lvlJc w:val="left"/>
    </w:lvl>
  </w:abstractNum>
  <w:abstractNum w:abstractNumId="3">
    <w:nsid w:val="4B3D372B"/>
    <w:multiLevelType w:val="singleLevel"/>
    <w:tmpl w:val="4B3D372B"/>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9B5"/>
    <w:rsid w:val="00037F27"/>
    <w:rsid w:val="000A0555"/>
    <w:rsid w:val="00126D4B"/>
    <w:rsid w:val="00154BCF"/>
    <w:rsid w:val="001975F9"/>
    <w:rsid w:val="002A2DA4"/>
    <w:rsid w:val="00333274"/>
    <w:rsid w:val="0033437C"/>
    <w:rsid w:val="0039150C"/>
    <w:rsid w:val="004C7753"/>
    <w:rsid w:val="004E3C63"/>
    <w:rsid w:val="00553DDA"/>
    <w:rsid w:val="005C7CB1"/>
    <w:rsid w:val="00652830"/>
    <w:rsid w:val="006B038E"/>
    <w:rsid w:val="006C1AB2"/>
    <w:rsid w:val="00795175"/>
    <w:rsid w:val="00796538"/>
    <w:rsid w:val="009B0846"/>
    <w:rsid w:val="00A43C3F"/>
    <w:rsid w:val="00A8779B"/>
    <w:rsid w:val="00BA3734"/>
    <w:rsid w:val="00BB151C"/>
    <w:rsid w:val="00C43D29"/>
    <w:rsid w:val="00C54FE2"/>
    <w:rsid w:val="00C75757"/>
    <w:rsid w:val="00C9472B"/>
    <w:rsid w:val="00D039B5"/>
    <w:rsid w:val="00D11E2A"/>
    <w:rsid w:val="00D66ABF"/>
    <w:rsid w:val="00D87F3B"/>
    <w:rsid w:val="00D92BF5"/>
    <w:rsid w:val="00DE10AB"/>
    <w:rsid w:val="00E01744"/>
    <w:rsid w:val="00E419B0"/>
    <w:rsid w:val="00F00972"/>
    <w:rsid w:val="00F626F1"/>
    <w:rsid w:val="03166657"/>
    <w:rsid w:val="04EA5E71"/>
    <w:rsid w:val="05664E6F"/>
    <w:rsid w:val="069B49E3"/>
    <w:rsid w:val="072C7CF4"/>
    <w:rsid w:val="079A1A50"/>
    <w:rsid w:val="09A513A1"/>
    <w:rsid w:val="0DC34AA8"/>
    <w:rsid w:val="0F3D73C4"/>
    <w:rsid w:val="1031187C"/>
    <w:rsid w:val="16064BAB"/>
    <w:rsid w:val="1693146C"/>
    <w:rsid w:val="172A6B28"/>
    <w:rsid w:val="177009C8"/>
    <w:rsid w:val="1CD6770F"/>
    <w:rsid w:val="22CD2178"/>
    <w:rsid w:val="22D36C7A"/>
    <w:rsid w:val="24C26FD3"/>
    <w:rsid w:val="27B55939"/>
    <w:rsid w:val="27CB062A"/>
    <w:rsid w:val="2E9C2616"/>
    <w:rsid w:val="2EA63495"/>
    <w:rsid w:val="2F800870"/>
    <w:rsid w:val="301D3379"/>
    <w:rsid w:val="37491AC0"/>
    <w:rsid w:val="37D15AB3"/>
    <w:rsid w:val="44E10BFD"/>
    <w:rsid w:val="45042CEF"/>
    <w:rsid w:val="52E81F34"/>
    <w:rsid w:val="53F65324"/>
    <w:rsid w:val="56A11597"/>
    <w:rsid w:val="599B3347"/>
    <w:rsid w:val="5A1A61B8"/>
    <w:rsid w:val="607E7980"/>
    <w:rsid w:val="64E076E5"/>
    <w:rsid w:val="65F405C7"/>
    <w:rsid w:val="671B433C"/>
    <w:rsid w:val="68882EC5"/>
    <w:rsid w:val="68E02B24"/>
    <w:rsid w:val="6A720A66"/>
    <w:rsid w:val="6B814EF0"/>
    <w:rsid w:val="6C1F461E"/>
    <w:rsid w:val="6E634344"/>
    <w:rsid w:val="71702947"/>
    <w:rsid w:val="7425535E"/>
    <w:rsid w:val="7A5C1E1A"/>
    <w:rsid w:val="7C5E0645"/>
    <w:rsid w:val="7D156B84"/>
    <w:rsid w:val="7DCD30C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3"/>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6"/>
    <w:semiHidden/>
    <w:unhideWhenUsed/>
    <w:qFormat/>
    <w:uiPriority w:val="0"/>
    <w:pPr>
      <w:keepNext/>
      <w:keepLines/>
      <w:spacing w:before="260" w:after="260" w:line="416" w:lineRule="auto"/>
      <w:outlineLvl w:val="1"/>
    </w:pPr>
    <w:rPr>
      <w:rFonts w:ascii="等线 Light" w:hAnsi="等线 Light" w:eastAsia="等线 Light" w:cs="Times New Roman"/>
      <w:b/>
      <w:bCs/>
      <w:sz w:val="32"/>
      <w:szCs w:val="32"/>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5">
    <w:name w:val="caption"/>
    <w:basedOn w:val="1"/>
    <w:next w:val="1"/>
    <w:semiHidden/>
    <w:unhideWhenUsed/>
    <w:qFormat/>
    <w:uiPriority w:val="0"/>
    <w:rPr>
      <w:rFonts w:ascii="Arial" w:hAnsi="Arial" w:eastAsia="黑体"/>
      <w:sz w:val="20"/>
    </w:rPr>
  </w:style>
  <w:style w:type="paragraph" w:styleId="6">
    <w:name w:val="annotation text"/>
    <w:basedOn w:val="1"/>
    <w:link w:val="21"/>
    <w:qFormat/>
    <w:uiPriority w:val="0"/>
    <w:pPr>
      <w:jc w:val="left"/>
    </w:pPr>
  </w:style>
  <w:style w:type="paragraph" w:styleId="7">
    <w:name w:val="toc 3"/>
    <w:basedOn w:val="1"/>
    <w:next w:val="1"/>
    <w:unhideWhenUsed/>
    <w:qFormat/>
    <w:uiPriority w:val="39"/>
    <w:pPr>
      <w:widowControl/>
      <w:spacing w:after="100" w:line="259" w:lineRule="auto"/>
      <w:ind w:left="440"/>
      <w:jc w:val="left"/>
    </w:pPr>
    <w:rPr>
      <w:rFonts w:ascii="等线" w:hAnsi="等线" w:eastAsia="等线"/>
      <w:kern w:val="0"/>
      <w:sz w:val="22"/>
      <w:szCs w:val="22"/>
    </w:rPr>
  </w:style>
  <w:style w:type="paragraph" w:styleId="8">
    <w:name w:val="footer"/>
    <w:basedOn w:val="1"/>
    <w:link w:val="25"/>
    <w:qFormat/>
    <w:uiPriority w:val="99"/>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widowControl/>
      <w:tabs>
        <w:tab w:val="right" w:leader="dot" w:pos="8296"/>
      </w:tabs>
      <w:spacing w:line="480" w:lineRule="auto"/>
      <w:jc w:val="distribute"/>
    </w:pPr>
    <w:rPr>
      <w:b/>
      <w:bCs/>
      <w:kern w:val="0"/>
      <w:sz w:val="24"/>
    </w:rPr>
  </w:style>
  <w:style w:type="paragraph" w:styleId="11">
    <w:name w:val="toc 2"/>
    <w:basedOn w:val="1"/>
    <w:next w:val="1"/>
    <w:unhideWhenUsed/>
    <w:qFormat/>
    <w:uiPriority w:val="39"/>
    <w:pPr>
      <w:widowControl/>
      <w:spacing w:after="100" w:line="259" w:lineRule="auto"/>
      <w:ind w:left="220"/>
      <w:jc w:val="left"/>
    </w:pPr>
    <w:rPr>
      <w:rFonts w:ascii="等线" w:hAnsi="等线" w:eastAsia="等线"/>
      <w:kern w:val="0"/>
      <w:sz w:val="22"/>
      <w:szCs w:val="22"/>
    </w:rPr>
  </w:style>
  <w:style w:type="paragraph" w:styleId="12">
    <w:name w:val="Normal (Web)"/>
    <w:basedOn w:val="1"/>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paragraph" w:styleId="13">
    <w:name w:val="annotation subject"/>
    <w:basedOn w:val="6"/>
    <w:next w:val="6"/>
    <w:link w:val="22"/>
    <w:qFormat/>
    <w:uiPriority w:val="0"/>
    <w:rPr>
      <w:b/>
      <w:bCs/>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0"/>
    <w:rPr>
      <w:b/>
      <w:bCs/>
    </w:rPr>
  </w:style>
  <w:style w:type="character" w:styleId="18">
    <w:name w:val="page number"/>
    <w:basedOn w:val="16"/>
    <w:qFormat/>
    <w:uiPriority w:val="0"/>
  </w:style>
  <w:style w:type="character" w:styleId="19">
    <w:name w:val="Hyperlink"/>
    <w:unhideWhenUsed/>
    <w:qFormat/>
    <w:uiPriority w:val="99"/>
    <w:rPr>
      <w:color w:val="0563C1"/>
      <w:u w:val="single"/>
    </w:rPr>
  </w:style>
  <w:style w:type="character" w:styleId="20">
    <w:name w:val="annotation reference"/>
    <w:qFormat/>
    <w:uiPriority w:val="0"/>
    <w:rPr>
      <w:sz w:val="21"/>
      <w:szCs w:val="21"/>
    </w:rPr>
  </w:style>
  <w:style w:type="character" w:customStyle="1" w:styleId="21">
    <w:name w:val="批注文字 字符"/>
    <w:link w:val="6"/>
    <w:qFormat/>
    <w:uiPriority w:val="0"/>
    <w:rPr>
      <w:kern w:val="2"/>
      <w:sz w:val="21"/>
      <w:szCs w:val="24"/>
    </w:rPr>
  </w:style>
  <w:style w:type="character" w:customStyle="1" w:styleId="22">
    <w:name w:val="批注主题 字符"/>
    <w:link w:val="13"/>
    <w:qFormat/>
    <w:uiPriority w:val="0"/>
    <w:rPr>
      <w:b/>
      <w:bCs/>
      <w:kern w:val="2"/>
      <w:sz w:val="21"/>
      <w:szCs w:val="24"/>
    </w:rPr>
  </w:style>
  <w:style w:type="character" w:customStyle="1" w:styleId="23">
    <w:name w:val="标题 1 字符"/>
    <w:link w:val="2"/>
    <w:qFormat/>
    <w:uiPriority w:val="0"/>
    <w:rPr>
      <w:b/>
      <w:bCs/>
      <w:kern w:val="44"/>
      <w:sz w:val="44"/>
      <w:szCs w:val="44"/>
    </w:rPr>
  </w:style>
  <w:style w:type="paragraph" w:customStyle="1" w:styleId="24">
    <w:name w:val="_Style 22"/>
    <w:basedOn w:val="2"/>
    <w:next w:val="1"/>
    <w:unhideWhenUsed/>
    <w:qFormat/>
    <w:uiPriority w:val="39"/>
    <w:pPr>
      <w:widowControl/>
      <w:spacing w:before="240" w:after="0" w:line="259" w:lineRule="auto"/>
      <w:jc w:val="left"/>
      <w:outlineLvl w:val="9"/>
    </w:pPr>
    <w:rPr>
      <w:rFonts w:ascii="等线 Light" w:hAnsi="等线 Light" w:eastAsia="等线 Light" w:cs="Times New Roman"/>
      <w:b w:val="0"/>
      <w:bCs w:val="0"/>
      <w:color w:val="2F5496"/>
      <w:kern w:val="0"/>
      <w:sz w:val="32"/>
      <w:szCs w:val="32"/>
    </w:rPr>
  </w:style>
  <w:style w:type="character" w:customStyle="1" w:styleId="25">
    <w:name w:val="页脚 字符"/>
    <w:link w:val="8"/>
    <w:qFormat/>
    <w:uiPriority w:val="99"/>
    <w:rPr>
      <w:kern w:val="2"/>
      <w:sz w:val="18"/>
      <w:szCs w:val="18"/>
    </w:rPr>
  </w:style>
  <w:style w:type="character" w:customStyle="1" w:styleId="26">
    <w:name w:val="标题 2 字符"/>
    <w:link w:val="3"/>
    <w:semiHidden/>
    <w:qFormat/>
    <w:uiPriority w:val="0"/>
    <w:rPr>
      <w:rFonts w:ascii="等线 Light" w:hAnsi="等线 Light" w:eastAsia="等线 Light" w:cs="Times New Roman"/>
      <w:b/>
      <w:bCs/>
      <w:kern w:val="2"/>
      <w:sz w:val="32"/>
      <w:szCs w:val="32"/>
    </w:rPr>
  </w:style>
  <w:style w:type="character" w:customStyle="1" w:styleId="27">
    <w:name w:val="MTConvertedEquation"/>
    <w:basedOn w:val="16"/>
    <w:uiPriority w:val="0"/>
  </w:style>
  <w:style w:type="paragraph" w:customStyle="1" w:styleId="28">
    <w:name w:val="WPSOffice手动目录 1"/>
    <w:uiPriority w:val="0"/>
    <w:pPr>
      <w:ind w:leftChars="0"/>
    </w:pPr>
    <w:rPr>
      <w:rFonts w:ascii="Times New Roman" w:hAnsi="Times New Roman" w:eastAsia="宋体" w:cs="Times New Roman"/>
      <w:sz w:val="20"/>
      <w:szCs w:val="20"/>
    </w:rPr>
  </w:style>
  <w:style w:type="paragraph" w:customStyle="1" w:styleId="29">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wmf"/><Relationship Id="rId16" Type="http://schemas.openxmlformats.org/officeDocument/2006/relationships/oleObject" Target="embeddings/oleObject5.bin"/><Relationship Id="rId15" Type="http://schemas.openxmlformats.org/officeDocument/2006/relationships/image" Target="media/image5.wmf"/><Relationship Id="rId14" Type="http://schemas.openxmlformats.org/officeDocument/2006/relationships/oleObject" Target="embeddings/oleObject4.bin"/><Relationship Id="rId13" Type="http://schemas.openxmlformats.org/officeDocument/2006/relationships/image" Target="media/image4.wmf"/><Relationship Id="rId12" Type="http://schemas.openxmlformats.org/officeDocument/2006/relationships/oleObject" Target="embeddings/oleObject3.bin"/><Relationship Id="rId11" Type="http://schemas.openxmlformats.org/officeDocument/2006/relationships/image" Target="media/image3.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ShenZhen University</Company>
  <Pages>22</Pages>
  <Words>589</Words>
  <Characters>722</Characters>
  <Lines>28</Lines>
  <Paragraphs>7</Paragraphs>
  <TotalTime>21</TotalTime>
  <ScaleCrop>false</ScaleCrop>
  <LinksUpToDate>false</LinksUpToDate>
  <CharactersWithSpaces>900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2006-05-11T02:17:00Z</dcterms:created>
  <dc:creator>lining</dc:creator>
  <cp:lastModifiedBy>猪脚米丝粉</cp:lastModifiedBy>
  <cp:lastPrinted>2007-01-24T02:51:00Z</cp:lastPrinted>
  <dcterms:modified xsi:type="dcterms:W3CDTF">2025-04-01T15:24:13Z</dcterms:modified>
  <dc:title>附件一</dc:title>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79DE8847C0BE4365B3F8023BF451D2CC_13</vt:lpwstr>
  </property>
  <property fmtid="{D5CDD505-2E9C-101B-9397-08002B2CF9AE}" pid="4" name="KSOTemplateDocerSaveRecord">
    <vt:lpwstr>eyJoZGlkIjoiY2JjMTE5MjllZDdlNWI2YWNmMzM5MTI0YzM5YjY0OTIiLCJ1c2VySWQiOiI4NjgwMjk3ODQifQ==</vt:lpwstr>
  </property>
  <property fmtid="{D5CDD505-2E9C-101B-9397-08002B2CF9AE}" pid="5" name="MTWinEqns">
    <vt:bool>true</vt:bool>
  </property>
</Properties>
</file>