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合成柑橘表型审查用论文</w:t>
      </w:r>
    </w:p>
    <w:p>
      <w:r>
        <w:t>软件验收专用虚构材料，不是真实科研报告。</w:t>
      </w:r>
    </w:p>
    <w:p>
      <w:pPr>
        <w:pStyle w:val="Heading1"/>
      </w:pPr>
      <w:r>
        <w:t>方法</w:t>
      </w:r>
    </w:p>
    <w:p>
      <w:r>
        <w:t>设置对照、低氮和高氮处理，重复分别为10、8、12；测定土壤水分、SPAD、果重、滴灌量和叶长。异常值、缺失值及重复行均为人为编造。</w:t>
      </w:r>
    </w:p>
    <w:p>
      <w:pPr>
        <w:pStyle w:val="Heading1"/>
      </w:pPr>
      <w:r>
        <w:t>参考文献</w:t>
      </w:r>
    </w:p>
    <w:p>
      <w:r>
        <w:t>Hand ML, Koltunow AMG. The Genetic Control of Apomixis: Asexual Seed Formation. Genetics. 2014;197(2):441-450. DOI: 10.1534/genetics.114.163105</w:t>
      </w:r>
    </w:p>
    <w:p>
      <w:r>
        <w:t>合成占位引用（虚构，仅负例测试）：CitrusQA fabricated source. DOI: 10.5555/citrusqa-e2e-fake-2026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