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黑体" w:hAnsi="黑体" w:eastAsia="黑体"/>
          <w:b/>
          <w:sz w:val="56"/>
        </w:rPr>
        <w:t>超算中心运营管理门户网站</w:t>
      </w:r>
    </w:p>
    <w:p>
      <w:pPr>
        <w:spacing w:after="360"/>
        <w:jc w:val="center"/>
      </w:pPr>
      <w:r>
        <w:rPr>
          <w:rFonts w:ascii="黑体" w:hAnsi="黑体" w:eastAsia="黑体"/>
          <w:b/>
          <w:sz w:val="48"/>
        </w:rPr>
        <w:t>后续阶段的计划性安排</w:t>
      </w:r>
    </w:p>
    <w:p>
      <w:pPr>
        <w:spacing w:after="440"/>
        <w:jc w:val="center"/>
      </w:pPr>
      <w:r>
        <w:drawing>
          <wp:inline xmlns:a="http://schemas.openxmlformats.org/drawingml/2006/main" xmlns:pic="http://schemas.openxmlformats.org/drawingml/2006/picture">
            <wp:extent cx="3780000" cy="37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digital_illustration_in_a_kawaii_cute_style_f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37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宋体" w:hAnsi="宋体" w:eastAsia="宋体"/>
          <w:b w:val="0"/>
          <w:sz w:val="30"/>
        </w:rPr>
        <w:t>项目名称：</w:t>
      </w:r>
      <w:r>
        <w:rPr>
          <w:rFonts w:ascii="宋体" w:hAnsi="宋体" w:eastAsia="宋体"/>
          <w:b/>
          <w:sz w:val="30"/>
        </w:rPr>
        <w:t xml:space="preserve">  超算中心运营管理门户网站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sz w:val="30"/>
        </w:rPr>
        <w:t>项目指导：</w:t>
      </w:r>
      <w:r>
        <w:rPr>
          <w:rFonts w:ascii="宋体" w:hAnsi="宋体" w:eastAsia="宋体"/>
          <w:b/>
          <w:sz w:val="30"/>
        </w:rPr>
        <w:t xml:space="preserve">  苏奎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sz w:val="30"/>
        </w:rPr>
        <w:t>所属组号：</w:t>
      </w:r>
      <w:r>
        <w:rPr>
          <w:rFonts w:ascii="宋体" w:hAnsi="宋体" w:eastAsia="宋体"/>
          <w:b/>
          <w:sz w:val="30"/>
        </w:rPr>
        <w:t xml:space="preserve">  G06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sz w:val="30"/>
        </w:rPr>
        <w:t>组    长：</w:t>
      </w:r>
      <w:r>
        <w:rPr>
          <w:rFonts w:ascii="宋体" w:hAnsi="宋体" w:eastAsia="宋体"/>
          <w:b/>
          <w:sz w:val="30"/>
        </w:rPr>
        <w:t xml:space="preserve">  吴易骏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sz w:val="30"/>
        </w:rPr>
        <w:t>组    员：</w:t>
      </w:r>
      <w:r>
        <w:rPr>
          <w:rFonts w:ascii="宋体" w:hAnsi="宋体" w:eastAsia="宋体"/>
          <w:b/>
          <w:sz w:val="30"/>
        </w:rPr>
        <w:t xml:space="preserve">  陈许恺 王涛 蒋长麟 肖泓宇</w:t>
      </w:r>
    </w:p>
    <w:p>
      <w:pPr>
        <w:spacing w:after="0"/>
        <w:jc w:val="center"/>
      </w:pPr>
      <w:r>
        <w:rPr>
          <w:rFonts w:ascii="宋体" w:hAnsi="宋体" w:eastAsia="宋体"/>
          <w:b w:val="0"/>
          <w:sz w:val="30"/>
        </w:rPr>
        <w:t>二〇二六年六月六日</w:t>
      </w:r>
    </w:p>
    <w:p>
      <w:r>
        <w:br w:type="page"/>
      </w:r>
    </w:p>
    <w:p>
      <w:pPr>
        <w:spacing w:after="400"/>
        <w:jc w:val="center"/>
      </w:pPr>
      <w:r>
        <w:rPr>
          <w:rFonts w:ascii="宋体" w:hAnsi="宋体" w:eastAsia="宋体"/>
          <w:b w:val="0"/>
          <w:sz w:val="24"/>
        </w:rPr>
        <w:t>二〇二六年六月六日</w:t>
      </w:r>
    </w:p>
    <w:p>
      <w:pPr>
        <w:spacing w:before="80" w:after="80"/>
      </w:pPr>
      <w:r>
        <w:rPr>
          <w:rFonts w:ascii="黑体" w:hAnsi="黑体" w:eastAsia="黑体"/>
          <w:b/>
          <w:sz w:val="27"/>
        </w:rPr>
        <w:t>版本记录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编号</w:t>
            </w:r>
          </w:p>
        </w:tc>
        <w:tc>
          <w:tcPr>
            <w:tcW w:type="dxa" w:w="1881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修订日期</w:t>
            </w:r>
          </w:p>
        </w:tc>
        <w:tc>
          <w:tcPr>
            <w:tcW w:type="dxa" w:w="1881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版本/状态</w:t>
            </w:r>
          </w:p>
        </w:tc>
        <w:tc>
          <w:tcPr>
            <w:tcW w:type="dxa" w:w="1881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修订人</w:t>
            </w:r>
          </w:p>
        </w:tc>
        <w:tc>
          <w:tcPr>
            <w:tcW w:type="dxa" w:w="1881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备注</w:t>
            </w:r>
          </w:p>
        </w:tc>
      </w:tr>
      <w:tr>
        <w:tc>
          <w:tcPr>
            <w:tcW w:type="dxa" w:w="188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01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2026.06.06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0.1.0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王涛</w:t>
            </w:r>
          </w:p>
        </w:tc>
        <w:tc>
          <w:tcPr>
            <w:tcW w:type="dxa" w:w="188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参照上一届模板重写后续阶段计划，结合超算门户需求变更后的设计、开发、部署、测试与风险控制安排</w:t>
            </w:r>
          </w:p>
        </w:tc>
      </w:tr>
    </w:tbl>
    <w:p>
      <w:r>
        <w:br/>
        <w:br/>
        <w:br/>
        <w:br/>
        <w:br/>
        <w:br/>
      </w:r>
    </w:p>
    <w:p>
      <w:r>
        <w:br w:type="page"/>
      </w:r>
    </w:p>
    <w:p>
      <w:pPr>
        <w:spacing w:before="120" w:after="120"/>
      </w:pPr>
      <w:r>
        <w:rPr>
          <w:rFonts w:ascii="黑体" w:hAnsi="黑体" w:eastAsia="黑体"/>
          <w:b/>
          <w:sz w:val="32"/>
        </w:rPr>
        <w:t>目录</w:t>
      </w:r>
    </w:p>
    <w:p>
      <w:pPr>
        <w:spacing w:after="80"/>
      </w:pPr>
      <w:r>
        <w:rPr>
          <w:rFonts w:ascii="宋体" w:hAnsi="宋体" w:eastAsia="宋体"/>
          <w:sz w:val="21"/>
        </w:rPr>
        <w:t>一、设计阶段</w:t>
      </w:r>
      <w:r>
        <w:rPr>
          <w:rFonts w:ascii="宋体" w:hAnsi="宋体" w:eastAsia="宋体"/>
          <w:sz w:val="21"/>
        </w:rPr>
        <w:t>..........................................................</w:t>
      </w:r>
      <w:r>
        <w:rPr>
          <w:rFonts w:ascii="宋体" w:hAnsi="宋体" w:eastAsia="宋体"/>
          <w:sz w:val="21"/>
        </w:rPr>
        <w:t>4</w:t>
      </w:r>
    </w:p>
    <w:p>
      <w:pPr>
        <w:spacing w:after="80"/>
      </w:pPr>
      <w:r>
        <w:rPr>
          <w:rFonts w:ascii="宋体" w:hAnsi="宋体" w:eastAsia="宋体"/>
          <w:sz w:val="21"/>
        </w:rPr>
        <w:t>1. 详细设计</w:t>
      </w:r>
      <w:r>
        <w:rPr>
          <w:rFonts w:ascii="宋体" w:hAnsi="宋体" w:eastAsia="宋体"/>
          <w:sz w:val="21"/>
        </w:rPr>
        <w:t>........................................................</w:t>
      </w:r>
      <w:r>
        <w:rPr>
          <w:rFonts w:ascii="宋体" w:hAnsi="宋体" w:eastAsia="宋体"/>
          <w:sz w:val="21"/>
        </w:rPr>
        <w:t>4</w:t>
      </w:r>
    </w:p>
    <w:p>
      <w:pPr>
        <w:spacing w:after="80"/>
      </w:pPr>
      <w:r>
        <w:rPr>
          <w:rFonts w:ascii="宋体" w:hAnsi="宋体" w:eastAsia="宋体"/>
          <w:sz w:val="21"/>
        </w:rPr>
        <w:t>2. 原型与 UI 设计</w:t>
      </w:r>
      <w:r>
        <w:rPr>
          <w:rFonts w:ascii="宋体" w:hAnsi="宋体" w:eastAsia="宋体"/>
          <w:sz w:val="21"/>
        </w:rPr>
        <w:t>..............................................</w:t>
      </w:r>
      <w:r>
        <w:rPr>
          <w:rFonts w:ascii="宋体" w:hAnsi="宋体" w:eastAsia="宋体"/>
          <w:sz w:val="21"/>
        </w:rPr>
        <w:t>5</w:t>
      </w:r>
    </w:p>
    <w:p>
      <w:pPr>
        <w:spacing w:after="80"/>
      </w:pPr>
      <w:r>
        <w:rPr>
          <w:rFonts w:ascii="宋体" w:hAnsi="宋体" w:eastAsia="宋体"/>
          <w:sz w:val="21"/>
        </w:rPr>
        <w:t>二、开发阶段</w:t>
      </w:r>
      <w:r>
        <w:rPr>
          <w:rFonts w:ascii="宋体" w:hAnsi="宋体" w:eastAsia="宋体"/>
          <w:sz w:val="21"/>
        </w:rPr>
        <w:t>..........................................................</w:t>
      </w:r>
      <w:r>
        <w:rPr>
          <w:rFonts w:ascii="宋体" w:hAnsi="宋体" w:eastAsia="宋体"/>
          <w:sz w:val="21"/>
        </w:rPr>
        <w:t>5</w:t>
      </w:r>
    </w:p>
    <w:p>
      <w:pPr>
        <w:spacing w:after="80"/>
      </w:pPr>
      <w:r>
        <w:rPr>
          <w:rFonts w:ascii="宋体" w:hAnsi="宋体" w:eastAsia="宋体"/>
          <w:sz w:val="21"/>
        </w:rPr>
        <w:t>1. 后端开发</w:t>
      </w:r>
      <w:r>
        <w:rPr>
          <w:rFonts w:ascii="宋体" w:hAnsi="宋体" w:eastAsia="宋体"/>
          <w:sz w:val="21"/>
        </w:rPr>
        <w:t>........................................................</w:t>
      </w:r>
      <w:r>
        <w:rPr>
          <w:rFonts w:ascii="宋体" w:hAnsi="宋体" w:eastAsia="宋体"/>
          <w:sz w:val="21"/>
        </w:rPr>
        <w:t>5</w:t>
      </w:r>
    </w:p>
    <w:p>
      <w:pPr>
        <w:spacing w:after="80"/>
      </w:pPr>
      <w:r>
        <w:rPr>
          <w:rFonts w:ascii="宋体" w:hAnsi="宋体" w:eastAsia="宋体"/>
          <w:sz w:val="21"/>
        </w:rPr>
        <w:t>2. 前端开发</w:t>
      </w:r>
      <w:r>
        <w:rPr>
          <w:rFonts w:ascii="宋体" w:hAnsi="宋体" w:eastAsia="宋体"/>
          <w:sz w:val="21"/>
        </w:rPr>
        <w:t>........................................................</w:t>
      </w:r>
      <w:r>
        <w:rPr>
          <w:rFonts w:ascii="宋体" w:hAnsi="宋体" w:eastAsia="宋体"/>
          <w:sz w:val="21"/>
        </w:rPr>
        <w:t>6</w:t>
      </w:r>
    </w:p>
    <w:p>
      <w:pPr>
        <w:spacing w:after="80"/>
      </w:pPr>
      <w:r>
        <w:rPr>
          <w:rFonts w:ascii="宋体" w:hAnsi="宋体" w:eastAsia="宋体"/>
          <w:sz w:val="21"/>
        </w:rPr>
        <w:t>三、部署阶段</w:t>
      </w:r>
      <w:r>
        <w:rPr>
          <w:rFonts w:ascii="宋体" w:hAnsi="宋体" w:eastAsia="宋体"/>
          <w:sz w:val="21"/>
        </w:rPr>
        <w:t>..........................................................</w:t>
      </w:r>
      <w:r>
        <w:rPr>
          <w:rFonts w:ascii="宋体" w:hAnsi="宋体" w:eastAsia="宋体"/>
          <w:sz w:val="21"/>
        </w:rPr>
        <w:t>7</w:t>
      </w:r>
    </w:p>
    <w:p>
      <w:pPr>
        <w:spacing w:after="80"/>
      </w:pPr>
      <w:r>
        <w:rPr>
          <w:rFonts w:ascii="宋体" w:hAnsi="宋体" w:eastAsia="宋体"/>
          <w:sz w:val="21"/>
        </w:rPr>
        <w:t>1. 环境配置</w:t>
      </w:r>
      <w:r>
        <w:rPr>
          <w:rFonts w:ascii="宋体" w:hAnsi="宋体" w:eastAsia="宋体"/>
          <w:sz w:val="21"/>
        </w:rPr>
        <w:t>........................................................</w:t>
      </w:r>
      <w:r>
        <w:rPr>
          <w:rFonts w:ascii="宋体" w:hAnsi="宋体" w:eastAsia="宋体"/>
          <w:sz w:val="21"/>
        </w:rPr>
        <w:t>7</w:t>
      </w:r>
    </w:p>
    <w:p>
      <w:pPr>
        <w:spacing w:after="80"/>
      </w:pPr>
      <w:r>
        <w:rPr>
          <w:rFonts w:ascii="宋体" w:hAnsi="宋体" w:eastAsia="宋体"/>
          <w:sz w:val="21"/>
        </w:rPr>
        <w:t>2. 上线前准备</w:t>
      </w:r>
      <w:r>
        <w:rPr>
          <w:rFonts w:ascii="宋体" w:hAnsi="宋体" w:eastAsia="宋体"/>
          <w:sz w:val="21"/>
        </w:rPr>
        <w:t>......................................................</w:t>
      </w:r>
      <w:r>
        <w:rPr>
          <w:rFonts w:ascii="宋体" w:hAnsi="宋体" w:eastAsia="宋体"/>
          <w:sz w:val="21"/>
        </w:rPr>
        <w:t>8</w:t>
      </w:r>
    </w:p>
    <w:p>
      <w:pPr>
        <w:spacing w:after="80"/>
      </w:pPr>
      <w:r>
        <w:rPr>
          <w:rFonts w:ascii="宋体" w:hAnsi="宋体" w:eastAsia="宋体"/>
          <w:sz w:val="21"/>
        </w:rPr>
        <w:t>四、测试阶段</w:t>
      </w:r>
      <w:r>
        <w:rPr>
          <w:rFonts w:ascii="宋体" w:hAnsi="宋体" w:eastAsia="宋体"/>
          <w:sz w:val="21"/>
        </w:rPr>
        <w:t>..........................................................</w:t>
      </w:r>
      <w:r>
        <w:rPr>
          <w:rFonts w:ascii="宋体" w:hAnsi="宋体" w:eastAsia="宋体"/>
          <w:sz w:val="21"/>
        </w:rPr>
        <w:t>8</w:t>
      </w:r>
    </w:p>
    <w:p>
      <w:pPr>
        <w:spacing w:after="80"/>
      </w:pPr>
      <w:r>
        <w:rPr>
          <w:rFonts w:ascii="宋体" w:hAnsi="宋体" w:eastAsia="宋体"/>
          <w:sz w:val="21"/>
        </w:rPr>
        <w:t>1. 功能测试</w:t>
      </w:r>
      <w:r>
        <w:rPr>
          <w:rFonts w:ascii="宋体" w:hAnsi="宋体" w:eastAsia="宋体"/>
          <w:sz w:val="21"/>
        </w:rPr>
        <w:t>........................................................</w:t>
      </w:r>
      <w:r>
        <w:rPr>
          <w:rFonts w:ascii="宋体" w:hAnsi="宋体" w:eastAsia="宋体"/>
          <w:sz w:val="21"/>
        </w:rPr>
        <w:t>8</w:t>
      </w:r>
    </w:p>
    <w:p>
      <w:pPr>
        <w:spacing w:after="80"/>
      </w:pPr>
      <w:r>
        <w:rPr>
          <w:rFonts w:ascii="宋体" w:hAnsi="宋体" w:eastAsia="宋体"/>
          <w:sz w:val="21"/>
        </w:rPr>
        <w:t>2. 非功能测试</w:t>
      </w:r>
      <w:r>
        <w:rPr>
          <w:rFonts w:ascii="宋体" w:hAnsi="宋体" w:eastAsia="宋体"/>
          <w:sz w:val="21"/>
        </w:rPr>
        <w:t>......................................................</w:t>
      </w:r>
      <w:r>
        <w:rPr>
          <w:rFonts w:ascii="宋体" w:hAnsi="宋体" w:eastAsia="宋体"/>
          <w:sz w:val="21"/>
        </w:rPr>
        <w:t>8</w:t>
      </w:r>
    </w:p>
    <w:p>
      <w:pPr>
        <w:spacing w:after="80"/>
      </w:pPr>
      <w:r>
        <w:rPr>
          <w:rFonts w:ascii="宋体" w:hAnsi="宋体" w:eastAsia="宋体"/>
          <w:sz w:val="21"/>
        </w:rPr>
        <w:t>五、里程碑与风险控制</w:t>
      </w:r>
      <w:r>
        <w:rPr>
          <w:rFonts w:ascii="宋体" w:hAnsi="宋体" w:eastAsia="宋体"/>
          <w:sz w:val="21"/>
        </w:rPr>
        <w:t>..................................................</w:t>
      </w:r>
      <w:r>
        <w:rPr>
          <w:rFonts w:ascii="宋体" w:hAnsi="宋体" w:eastAsia="宋体"/>
          <w:sz w:val="21"/>
        </w:rPr>
        <w:t>9</w:t>
      </w:r>
    </w:p>
    <w:p>
      <w:r>
        <w:br w:type="page"/>
      </w:r>
    </w:p>
    <w:p>
      <w:pPr>
        <w:spacing w:before="120" w:after="120"/>
      </w:pPr>
      <w:r>
        <w:rPr>
          <w:rFonts w:ascii="黑体" w:hAnsi="黑体" w:eastAsia="黑体"/>
          <w:b/>
          <w:sz w:val="32"/>
        </w:rPr>
        <w:t>一、设计阶段</w:t>
      </w:r>
    </w:p>
    <w:p>
      <w:pPr>
        <w:spacing w:before="80" w:after="80"/>
      </w:pPr>
      <w:r>
        <w:rPr>
          <w:rFonts w:ascii="黑体" w:hAnsi="黑体" w:eastAsia="黑体"/>
          <w:b/>
          <w:sz w:val="27"/>
        </w:rPr>
        <w:t>1. 详细设计</w:t>
      </w:r>
    </w:p>
    <w:p>
      <w:pPr>
        <w:spacing w:line="300" w:lineRule="auto" w:after="40"/>
        <w:ind w:left="369"/>
      </w:pPr>
      <w:r>
        <w:rPr>
          <w:rFonts w:ascii="宋体" w:hAnsi="宋体" w:eastAsia="宋体"/>
          <w:sz w:val="21"/>
        </w:rPr>
        <w:t> 目标：基于《SRA2026-G06-软件需求规格说明书》《需求变更报告》和《需求变更影响分析》细化后续技术实现方案，明确系统架构、接口、数据库设计以及新增“资源申请智能预审与排队时间预估”功能的落地方式。</w:t>
      </w:r>
    </w:p>
    <w:p>
      <w:pPr>
        <w:spacing w:line="300" w:lineRule="auto" w:after="40"/>
        <w:ind w:left="369"/>
      </w:pPr>
      <w:r>
        <w:rPr>
          <w:rFonts w:ascii="宋体" w:hAnsi="宋体" w:eastAsia="宋体"/>
          <w:sz w:val="21"/>
        </w:rPr>
        <w:t> 核心任务：</w:t>
      </w:r>
    </w:p>
    <w:p>
      <w:pPr>
        <w:spacing w:line="300" w:lineRule="auto" w:after="40"/>
        <w:ind w:left="680"/>
      </w:pPr>
      <w:r>
        <w:rPr>
          <w:rFonts w:ascii="宋体" w:hAnsi="宋体" w:eastAsia="宋体"/>
          <w:sz w:val="21"/>
        </w:rPr>
        <w:t> 架构设计：</w:t>
      </w:r>
    </w:p>
    <w:p>
      <w:pPr>
        <w:spacing w:line="300" w:lineRule="auto" w:after="40"/>
        <w:ind w:left="992"/>
      </w:pPr>
      <w:r>
        <w:rPr>
          <w:rFonts w:ascii="宋体" w:hAnsi="宋体" w:eastAsia="宋体"/>
          <w:sz w:val="21"/>
        </w:rPr>
        <w:t> 采用前后端分离架构，前端使用 Vue 3 或 HTML 原型进行界面交互展示，后端采用 Spring Boot/Java 进行业务接口设计，数据库采用 MySQL 存储用户、项目、资源申请、作业、账单和工单数据。</w:t>
      </w:r>
    </w:p>
    <w:p>
      <w:pPr>
        <w:spacing w:line="300" w:lineRule="auto" w:after="40"/>
        <w:ind w:left="992"/>
      </w:pPr>
      <w:r>
        <w:rPr>
          <w:rFonts w:ascii="宋体" w:hAnsi="宋体" w:eastAsia="宋体"/>
          <w:sz w:val="21"/>
        </w:rPr>
        <w:t> 按照超算门户业务边界拆分用户与权限、资源申请与审批、作业提交与监控、文件与数据管理、统计报表与计费、工单服务、系统运维与审计等模块，通过 RESTful API 进行数据交互。</w:t>
      </w:r>
    </w:p>
    <w:p>
      <w:pPr>
        <w:spacing w:line="300" w:lineRule="auto" w:after="40"/>
        <w:ind w:left="992"/>
      </w:pPr>
      <w:r>
        <w:rPr>
          <w:rFonts w:ascii="宋体" w:hAnsi="宋体" w:eastAsia="宋体"/>
          <w:sz w:val="21"/>
        </w:rPr>
        <w:t> 新增智能预审服务：在资源申请提交前，对申请字段完整性、项目额度、历史作业规模、资源池状态和队列负载进行规则校验，并给出预审提示和预计排队时间。</w:t>
      </w:r>
    </w:p>
    <w:p>
      <w:pPr>
        <w:spacing w:line="300" w:lineRule="auto" w:after="40"/>
        <w:ind w:left="680"/>
      </w:pPr>
      <w:r>
        <w:rPr>
          <w:rFonts w:ascii="宋体" w:hAnsi="宋体" w:eastAsia="宋体"/>
          <w:sz w:val="21"/>
        </w:rPr>
        <w:t> 数据库设计：</w:t>
      </w:r>
    </w:p>
    <w:p>
      <w:pPr>
        <w:spacing w:line="300" w:lineRule="auto" w:after="40"/>
        <w:ind w:left="992"/>
      </w:pPr>
      <w:r>
        <w:rPr>
          <w:rFonts w:ascii="宋体" w:hAnsi="宋体" w:eastAsia="宋体"/>
          <w:sz w:val="21"/>
        </w:rPr>
        <w:t> 依据《软件需求规格说明书》3.3 节数据字典和 E-R 图，完善用户账号表、角色权限表、项目信息表、资源申请表、审批记录表、资源池表、作业任务表、用量账单表、工单表和审计日志表等核心结构。</w:t>
      </w:r>
    </w:p>
    <w:p>
      <w:pPr>
        <w:spacing w:line="300" w:lineRule="auto" w:after="40"/>
        <w:ind w:left="992"/>
      </w:pPr>
      <w:r>
        <w:rPr>
          <w:rFonts w:ascii="宋体" w:hAnsi="宋体" w:eastAsia="宋体"/>
          <w:sz w:val="21"/>
        </w:rPr>
        <w:t> 新增预审记录表和排队估算记录表，用于保存每次资源申请的规则命中结果、风险提示、建议资源参数、估算队列、预计等待时间和计算依据。</w:t>
      </w:r>
    </w:p>
    <w:p>
      <w:pPr>
        <w:spacing w:line="300" w:lineRule="auto" w:after="40"/>
        <w:ind w:left="680"/>
      </w:pPr>
      <w:r>
        <w:rPr>
          <w:rFonts w:ascii="宋体" w:hAnsi="宋体" w:eastAsia="宋体"/>
          <w:sz w:val="21"/>
        </w:rPr>
        <w:t> 接口设计：</w:t>
      </w:r>
    </w:p>
    <w:p>
      <w:pPr>
        <w:spacing w:line="300" w:lineRule="auto" w:after="40"/>
        <w:ind w:left="992"/>
      </w:pPr>
      <w:r>
        <w:rPr>
          <w:rFonts w:ascii="宋体" w:hAnsi="宋体" w:eastAsia="宋体"/>
          <w:sz w:val="21"/>
        </w:rPr>
        <w:t> 定义用户端接口，如登录认证、资源申请、申请进度查询、作业提交、作业状态查看、结果下载和工单提交。</w:t>
      </w:r>
    </w:p>
    <w:p>
      <w:pPr>
        <w:spacing w:line="300" w:lineRule="auto" w:after="40"/>
        <w:ind w:left="992"/>
      </w:pPr>
      <w:r>
        <w:rPr>
          <w:rFonts w:ascii="宋体" w:hAnsi="宋体" w:eastAsia="宋体"/>
          <w:sz w:val="21"/>
        </w:rPr>
        <w:t> 定义管理端接口，如资源申请审批、账号与资源开通、资源池配置、计费规则维护、公告发布和审计日志查询。</w:t>
      </w:r>
    </w:p>
    <w:p>
      <w:pPr>
        <w:spacing w:line="300" w:lineRule="auto" w:after="40"/>
        <w:ind w:left="992"/>
      </w:pPr>
      <w:r>
        <w:rPr>
          <w:rFonts w:ascii="宋体" w:hAnsi="宋体" w:eastAsia="宋体"/>
          <w:sz w:val="21"/>
        </w:rPr>
        <w:t> 定义外部系统接口，如统一身份认证接口、调度系统状态查询接口、邮件/站内信通知接口和模拟计费统计接口。</w:t>
      </w:r>
    </w:p>
    <w:p>
      <w:pPr>
        <w:spacing w:line="300" w:lineRule="auto" w:after="40"/>
        <w:ind w:left="369"/>
      </w:pPr>
      <w:r>
        <w:rPr>
          <w:rFonts w:ascii="宋体" w:hAnsi="宋体" w:eastAsia="宋体"/>
          <w:sz w:val="21"/>
        </w:rPr>
        <w:t> 交付物：《系统架构设计文档》《数据库设计说明书》《接口设计文档》《智能预审规则说明》。</w:t>
      </w:r>
    </w:p>
    <w:p>
      <w:pPr>
        <w:spacing w:before="80" w:after="80"/>
      </w:pPr>
      <w:r>
        <w:rPr>
          <w:rFonts w:ascii="黑体" w:hAnsi="黑体" w:eastAsia="黑体"/>
          <w:b/>
          <w:sz w:val="27"/>
        </w:rPr>
        <w:t>2. 原型与 UI 设计</w:t>
      </w:r>
    </w:p>
    <w:p>
      <w:pPr>
        <w:spacing w:line="300" w:lineRule="auto" w:after="40"/>
        <w:ind w:left="369"/>
      </w:pPr>
      <w:r>
        <w:rPr>
          <w:rFonts w:ascii="宋体" w:hAnsi="宋体" w:eastAsia="宋体"/>
          <w:sz w:val="21"/>
        </w:rPr>
        <w:t> 目标：基于《SRA2026-G06-软件需求规格说明书》《用户手册》和需求变更结论，继续完善已经完成的超算门户界面原型，使后续设计与用户操作说明保持一致。</w:t>
      </w:r>
    </w:p>
    <w:p>
      <w:pPr>
        <w:spacing w:line="300" w:lineRule="auto" w:after="40"/>
        <w:ind w:left="369"/>
      </w:pPr>
      <w:r>
        <w:rPr>
          <w:rFonts w:ascii="宋体" w:hAnsi="宋体" w:eastAsia="宋体"/>
          <w:sz w:val="21"/>
        </w:rPr>
        <w:t> 核心任务：</w:t>
      </w:r>
    </w:p>
    <w:p>
      <w:pPr>
        <w:spacing w:line="300" w:lineRule="auto" w:after="40"/>
        <w:ind w:left="680"/>
      </w:pPr>
      <w:r>
        <w:rPr>
          <w:rFonts w:ascii="宋体" w:hAnsi="宋体" w:eastAsia="宋体"/>
          <w:sz w:val="21"/>
        </w:rPr>
        <w:t> 完善登录与身份认证、运营数据总览、资源申请、审批管理、作业提交、作业监控、文件管理、统计报表、工单服务、用户管理、角色权限管理、资源池配置、系统运行监控等页面。</w:t>
      </w:r>
    </w:p>
    <w:p>
      <w:pPr>
        <w:spacing w:line="300" w:lineRule="auto" w:after="40"/>
        <w:ind w:left="680"/>
      </w:pPr>
      <w:r>
        <w:rPr>
          <w:rFonts w:ascii="宋体" w:hAnsi="宋体" w:eastAsia="宋体"/>
          <w:sz w:val="21"/>
        </w:rPr>
        <w:t> 针对 RC-001 新增需求，在资源申请页面增加“智能预审结果”区域，在作业监控页面增加“预计排队时间”和“资源建议”提示，在审批页面增加“预审结论参考”。</w:t>
      </w:r>
    </w:p>
    <w:p>
      <w:pPr>
        <w:spacing w:line="300" w:lineRule="auto" w:after="40"/>
        <w:ind w:left="680"/>
      </w:pPr>
      <w:r>
        <w:rPr>
          <w:rFonts w:ascii="宋体" w:hAnsi="宋体" w:eastAsia="宋体"/>
          <w:sz w:val="21"/>
        </w:rPr>
        <w:t> 统一界面视觉规范，保持左侧导航、顶部用户信息、指标卡片、数据列表、操作按钮和状态标签的布局风格，避免不同文档中原型图和系统界面不一致。</w:t>
      </w:r>
    </w:p>
    <w:p>
      <w:pPr>
        <w:spacing w:line="300" w:lineRule="auto" w:after="40"/>
        <w:ind w:left="680"/>
      </w:pPr>
      <w:r>
        <w:rPr>
          <w:rFonts w:ascii="宋体" w:hAnsi="宋体" w:eastAsia="宋体"/>
          <w:sz w:val="21"/>
        </w:rPr>
        <w:t> 完善响应式布局，保证普通用户、PI、中心管理员、运维人员和支持人员在不同分辨率下均可完成核心业务操作。</w:t>
      </w:r>
    </w:p>
    <w:p>
      <w:pPr>
        <w:spacing w:line="300" w:lineRule="auto" w:after="40"/>
        <w:ind w:left="369"/>
      </w:pPr>
      <w:r>
        <w:rPr>
          <w:rFonts w:ascii="宋体" w:hAnsi="宋体" w:eastAsia="宋体"/>
          <w:sz w:val="21"/>
        </w:rPr>
        <w:t> 交付物：《原型设计》《UI 设计规范文档》《变更后原型截图》《资源申请智能预审页面说明》。</w:t>
      </w:r>
    </w:p>
    <w:p>
      <w:pPr>
        <w:spacing w:before="120" w:after="120"/>
      </w:pPr>
      <w:r>
        <w:rPr>
          <w:rFonts w:ascii="黑体" w:hAnsi="黑体" w:eastAsia="黑体"/>
          <w:b/>
          <w:sz w:val="32"/>
        </w:rPr>
        <w:t>二、开发阶段</w:t>
      </w:r>
    </w:p>
    <w:p>
      <w:pPr>
        <w:spacing w:before="80" w:after="80"/>
      </w:pPr>
      <w:r>
        <w:rPr>
          <w:rFonts w:ascii="黑体" w:hAnsi="黑体" w:eastAsia="黑体"/>
          <w:b/>
          <w:sz w:val="27"/>
        </w:rPr>
        <w:t>1. 后端开发</w:t>
      </w:r>
    </w:p>
    <w:p>
      <w:pPr>
        <w:spacing w:line="300" w:lineRule="auto" w:after="40"/>
        <w:ind w:left="369"/>
      </w:pPr>
      <w:r>
        <w:rPr>
          <w:rFonts w:ascii="宋体" w:hAnsi="宋体" w:eastAsia="宋体"/>
          <w:sz w:val="21"/>
        </w:rPr>
        <w:t> 任务分工：</w:t>
      </w:r>
    </w:p>
    <w:p>
      <w:pPr>
        <w:spacing w:line="300" w:lineRule="auto" w:after="40"/>
        <w:ind w:left="680"/>
      </w:pPr>
      <w:r>
        <w:rPr>
          <w:rFonts w:ascii="宋体" w:hAnsi="宋体" w:eastAsia="宋体"/>
          <w:sz w:val="21"/>
        </w:rPr>
        <w:t> 用户模块：实现账号注册、统一登录、JWT/Session 鉴权、角色权限校验和个人信息维护，保证普通用户、PI、管理员、运维人员和支持人员访问不同菜单时权限正确。</w:t>
      </w:r>
    </w:p>
    <w:p>
      <w:pPr>
        <w:spacing w:line="300" w:lineRule="auto" w:after="40"/>
        <w:ind w:left="680"/>
      </w:pPr>
      <w:r>
        <w:rPr>
          <w:rFonts w:ascii="宋体" w:hAnsi="宋体" w:eastAsia="宋体"/>
          <w:sz w:val="21"/>
        </w:rPr>
        <w:t> 资源申请模块：实现试用资源申请、正式资源申请、GPU/CPU/存储扩容申请、申请撤回、申请状态跟踪和审批流转。</w:t>
      </w:r>
    </w:p>
    <w:p>
      <w:pPr>
        <w:spacing w:line="300" w:lineRule="auto" w:after="40"/>
        <w:ind w:left="680"/>
      </w:pPr>
      <w:r>
        <w:rPr>
          <w:rFonts w:ascii="宋体" w:hAnsi="宋体" w:eastAsia="宋体"/>
          <w:sz w:val="21"/>
        </w:rPr>
        <w:t> 智能预审模块：根据申请资源类型、预计使用周期、项目额度、历史用量、当前队列负载等信息生成预审结果，输出“通过/需补充/建议调整/不建议提交”等提示。</w:t>
      </w:r>
    </w:p>
    <w:p>
      <w:pPr>
        <w:spacing w:line="300" w:lineRule="auto" w:after="40"/>
        <w:ind w:left="680"/>
      </w:pPr>
      <w:r>
        <w:rPr>
          <w:rFonts w:ascii="宋体" w:hAnsi="宋体" w:eastAsia="宋体"/>
          <w:sz w:val="21"/>
        </w:rPr>
        <w:t> 作业监控模块：预留与 Slurm/PBS 等调度系统或模拟调度数据的接口，实现作业提交、状态查询、日志查看、失败原因提示和结果下载。</w:t>
      </w:r>
    </w:p>
    <w:p>
      <w:pPr>
        <w:spacing w:line="300" w:lineRule="auto" w:after="40"/>
        <w:ind w:left="680"/>
      </w:pPr>
      <w:r>
        <w:rPr>
          <w:rFonts w:ascii="宋体" w:hAnsi="宋体" w:eastAsia="宋体"/>
          <w:sz w:val="21"/>
        </w:rPr>
        <w:t> 统计与工单模块：实现项目用量统计、账单明细、工单提交、工单分派、处理记录、知识库维护和服务评价统计。</w:t>
      </w:r>
    </w:p>
    <w:p>
      <w:pPr>
        <w:spacing w:line="300" w:lineRule="auto" w:after="40"/>
        <w:ind w:left="369"/>
      </w:pPr>
      <w:r>
        <w:rPr>
          <w:rFonts w:ascii="宋体" w:hAnsi="宋体" w:eastAsia="宋体"/>
          <w:sz w:val="21"/>
        </w:rPr>
        <w:t> 技术难点应对：</w:t>
      </w:r>
    </w:p>
    <w:p>
      <w:pPr>
        <w:spacing w:line="300" w:lineRule="auto" w:after="40"/>
        <w:ind w:left="680"/>
      </w:pPr>
      <w:r>
        <w:rPr>
          <w:rFonts w:ascii="宋体" w:hAnsi="宋体" w:eastAsia="宋体"/>
          <w:sz w:val="21"/>
        </w:rPr>
        <w:t> 由于课程项目无法直接接入真实超算集群，可采用模拟调度接口和样例数据来验证作业监控、资源池负载和排队时间估算逻辑。</w:t>
      </w:r>
    </w:p>
    <w:p>
      <w:pPr>
        <w:spacing w:line="300" w:lineRule="auto" w:after="40"/>
        <w:ind w:left="680"/>
      </w:pPr>
      <w:r>
        <w:rPr>
          <w:rFonts w:ascii="宋体" w:hAnsi="宋体" w:eastAsia="宋体"/>
          <w:sz w:val="21"/>
        </w:rPr>
        <w:t> 针对权限控制复杂的问题，后端统一采用角色权限矩阵和接口拦截校验，防止普通用户访问管理员或运维人员功能。</w:t>
      </w:r>
    </w:p>
    <w:p>
      <w:pPr>
        <w:spacing w:line="300" w:lineRule="auto" w:after="40"/>
        <w:ind w:left="369"/>
      </w:pPr>
      <w:r>
        <w:rPr>
          <w:rFonts w:ascii="宋体" w:hAnsi="宋体" w:eastAsia="宋体"/>
          <w:sz w:val="21"/>
        </w:rPr>
        <w:t> 交付物：后端 API 接口文档、数据库脚本、核心业务服务代码、模拟调度接口说明、智能预审规则配置表。</w:t>
      </w:r>
    </w:p>
    <w:p>
      <w:pPr>
        <w:spacing w:before="80" w:after="80"/>
      </w:pPr>
      <w:r>
        <w:rPr>
          <w:rFonts w:ascii="黑体" w:hAnsi="黑体" w:eastAsia="黑体"/>
          <w:b/>
          <w:sz w:val="27"/>
        </w:rPr>
        <w:t>2. 前端开发</w:t>
      </w:r>
    </w:p>
    <w:p>
      <w:pPr>
        <w:spacing w:line="300" w:lineRule="auto" w:after="40"/>
        <w:ind w:left="369"/>
      </w:pPr>
      <w:r>
        <w:rPr>
          <w:rFonts w:ascii="宋体" w:hAnsi="宋体" w:eastAsia="宋体"/>
          <w:sz w:val="21"/>
        </w:rPr>
        <w:t> 任务分工：</w:t>
      </w:r>
    </w:p>
    <w:p>
      <w:pPr>
        <w:spacing w:line="300" w:lineRule="auto" w:after="40"/>
        <w:ind w:left="680"/>
      </w:pPr>
      <w:r>
        <w:rPr>
          <w:rFonts w:ascii="宋体" w:hAnsi="宋体" w:eastAsia="宋体"/>
          <w:sz w:val="21"/>
        </w:rPr>
        <w:t> 普通用户端：实现登录、资源申请、申请进度查询、作业提交、作业监控、文件上传下载、账单查看、工单提交和消息中心等页面。</w:t>
      </w:r>
    </w:p>
    <w:p>
      <w:pPr>
        <w:spacing w:line="300" w:lineRule="auto" w:after="40"/>
        <w:ind w:left="680"/>
      </w:pPr>
      <w:r>
        <w:rPr>
          <w:rFonts w:ascii="宋体" w:hAnsi="宋体" w:eastAsia="宋体"/>
          <w:sz w:val="21"/>
        </w:rPr>
        <w:t> PI/项目负责人端：实现项目创建、成员管理、组内申请审核、成员配额调整、项目用量查看和账单确认等页面。</w:t>
      </w:r>
    </w:p>
    <w:p>
      <w:pPr>
        <w:spacing w:line="300" w:lineRule="auto" w:after="40"/>
        <w:ind w:left="680"/>
      </w:pPr>
      <w:r>
        <w:rPr>
          <w:rFonts w:ascii="宋体" w:hAnsi="宋体" w:eastAsia="宋体"/>
          <w:sz w:val="21"/>
        </w:rPr>
        <w:t> 中心管理员端：实现用户账号管理、角色权限配置、资源申请审批、账号与资源开通、资源池维护、计费规则维护和公告发布等页面。</w:t>
      </w:r>
    </w:p>
    <w:p>
      <w:pPr>
        <w:spacing w:line="300" w:lineRule="auto" w:after="40"/>
        <w:ind w:left="680"/>
      </w:pPr>
      <w:r>
        <w:rPr>
          <w:rFonts w:ascii="宋体" w:hAnsi="宋体" w:eastAsia="宋体"/>
          <w:sz w:val="21"/>
        </w:rPr>
        <w:t> 运维人员端：实现集群状态监控、节点故障处理、作业异常排查、存储告警处理、维护窗口设置和系统参数配置等页面。</w:t>
      </w:r>
    </w:p>
    <w:p>
      <w:pPr>
        <w:spacing w:line="300" w:lineRule="auto" w:after="40"/>
        <w:ind w:left="369"/>
      </w:pPr>
      <w:r>
        <w:rPr>
          <w:rFonts w:ascii="宋体" w:hAnsi="宋体" w:eastAsia="宋体"/>
          <w:sz w:val="21"/>
        </w:rPr>
        <w:t> 技术要点：</w:t>
      </w:r>
    </w:p>
    <w:p>
      <w:pPr>
        <w:spacing w:line="300" w:lineRule="auto" w:after="40"/>
        <w:ind w:left="680"/>
      </w:pPr>
      <w:r>
        <w:rPr>
          <w:rFonts w:ascii="宋体" w:hAnsi="宋体" w:eastAsia="宋体"/>
          <w:sz w:val="21"/>
        </w:rPr>
        <w:t> 使用 ECharts 或图表组件展示资源利用率、作业成功率、审批效率、项目用量和工单闭环率等运营指标。</w:t>
      </w:r>
    </w:p>
    <w:p>
      <w:pPr>
        <w:spacing w:line="300" w:lineRule="auto" w:after="40"/>
        <w:ind w:left="680"/>
      </w:pPr>
      <w:r>
        <w:rPr>
          <w:rFonts w:ascii="宋体" w:hAnsi="宋体" w:eastAsia="宋体"/>
          <w:sz w:val="21"/>
        </w:rPr>
        <w:t> 在作业监控中采用轮询或 WebSocket 思路展示作业状态变化，使用户能够实时感知排队、运行、完成和失败等状态。</w:t>
      </w:r>
    </w:p>
    <w:p>
      <w:pPr>
        <w:spacing w:line="300" w:lineRule="auto" w:after="40"/>
        <w:ind w:left="680"/>
      </w:pPr>
      <w:r>
        <w:rPr>
          <w:rFonts w:ascii="宋体" w:hAnsi="宋体" w:eastAsia="宋体"/>
          <w:sz w:val="21"/>
        </w:rPr>
        <w:t> 在资源申请页面实现智能预审可视化卡片，对申请风险、预计排队时间和资源参数建议进行清晰展示。</w:t>
      </w:r>
    </w:p>
    <w:p>
      <w:pPr>
        <w:spacing w:line="300" w:lineRule="auto" w:after="40"/>
        <w:ind w:left="369"/>
      </w:pPr>
      <w:r>
        <w:rPr>
          <w:rFonts w:ascii="宋体" w:hAnsi="宋体" w:eastAsia="宋体"/>
          <w:sz w:val="21"/>
        </w:rPr>
        <w:t> 交付物：前端页面代码、组件说明、页面跳转关系说明、前端单元测试和交互测试记录。</w:t>
      </w:r>
    </w:p>
    <w:p>
      <w:pPr>
        <w:spacing w:before="120" w:after="120"/>
      </w:pPr>
      <w:r>
        <w:rPr>
          <w:rFonts w:ascii="黑体" w:hAnsi="黑体" w:eastAsia="黑体"/>
          <w:b/>
          <w:sz w:val="32"/>
        </w:rPr>
        <w:t>三、部署阶段</w:t>
      </w:r>
    </w:p>
    <w:p>
      <w:pPr>
        <w:spacing w:before="80" w:after="80"/>
      </w:pPr>
      <w:r>
        <w:rPr>
          <w:rFonts w:ascii="黑体" w:hAnsi="黑体" w:eastAsia="黑体"/>
          <w:b/>
          <w:sz w:val="27"/>
        </w:rPr>
        <w:t>1. 环境配置</w:t>
      </w:r>
    </w:p>
    <w:p>
      <w:pPr>
        <w:spacing w:line="300" w:lineRule="auto" w:after="40"/>
        <w:ind w:left="369"/>
      </w:pPr>
      <w:r>
        <w:rPr>
          <w:rFonts w:ascii="宋体" w:hAnsi="宋体" w:eastAsia="宋体"/>
          <w:sz w:val="21"/>
        </w:rPr>
        <w:t> 服务器架构：</w:t>
      </w:r>
    </w:p>
    <w:p>
      <w:pPr>
        <w:spacing w:line="300" w:lineRule="auto" w:after="40"/>
        <w:ind w:left="680"/>
      </w:pPr>
      <w:r>
        <w:rPr>
          <w:rFonts w:ascii="宋体" w:hAnsi="宋体" w:eastAsia="宋体"/>
          <w:sz w:val="21"/>
        </w:rPr>
        <w:t> 课程展示阶段可采用本地或云端测试环境部署，建议使用 Linux/Windows 均可运行的前后端分离结构，前端由 Nginx 或静态服务器托管，后端以 Spring Boot 服务形式运行。</w:t>
      </w:r>
    </w:p>
    <w:p>
      <w:pPr>
        <w:spacing w:line="300" w:lineRule="auto" w:after="40"/>
        <w:ind w:left="680"/>
      </w:pPr>
      <w:r>
        <w:rPr>
          <w:rFonts w:ascii="宋体" w:hAnsi="宋体" w:eastAsia="宋体"/>
          <w:sz w:val="21"/>
        </w:rPr>
        <w:t> 数据库采用 MySQL，保存用户、项目、申请、审批、作业、账单、工单和审计日志等业务数据；缓存或会话数据可使用 Redis 或本地模拟方式实现。</w:t>
      </w:r>
    </w:p>
    <w:p>
      <w:pPr>
        <w:spacing w:line="300" w:lineRule="auto" w:after="40"/>
        <w:ind w:left="680"/>
      </w:pPr>
      <w:r>
        <w:rPr>
          <w:rFonts w:ascii="宋体" w:hAnsi="宋体" w:eastAsia="宋体"/>
          <w:sz w:val="21"/>
        </w:rPr>
        <w:t> 调度系统接口在课程阶段采用模拟服务，模拟返回资源池状态、队列长度、作业状态、日志路径和预计等待时间。</w:t>
      </w:r>
    </w:p>
    <w:p>
      <w:pPr>
        <w:spacing w:line="300" w:lineRule="auto" w:after="40"/>
        <w:ind w:left="369"/>
      </w:pPr>
      <w:r>
        <w:rPr>
          <w:rFonts w:ascii="宋体" w:hAnsi="宋体" w:eastAsia="宋体"/>
          <w:sz w:val="21"/>
        </w:rPr>
        <w:t> 容器化：</w:t>
      </w:r>
    </w:p>
    <w:p>
      <w:pPr>
        <w:spacing w:line="300" w:lineRule="auto" w:after="40"/>
        <w:ind w:left="680"/>
      </w:pPr>
      <w:r>
        <w:rPr>
          <w:rFonts w:ascii="宋体" w:hAnsi="宋体" w:eastAsia="宋体"/>
          <w:sz w:val="21"/>
        </w:rPr>
        <w:t> 如时间允许，使用 Docker Compose 组织前端、后端、数据库和模拟调度服务，便于小组成员在不同电脑上复现实验环境。</w:t>
      </w:r>
    </w:p>
    <w:p>
      <w:pPr>
        <w:spacing w:line="300" w:lineRule="auto" w:after="40"/>
        <w:ind w:left="680"/>
      </w:pPr>
      <w:r>
        <w:rPr>
          <w:rFonts w:ascii="宋体" w:hAnsi="宋体" w:eastAsia="宋体"/>
          <w:sz w:val="21"/>
        </w:rPr>
        <w:t> 配置环境变量管理数据库地址、接口地址、管理员账号、文件上传目录和消息通知开关，避免硬编码敏感信息。</w:t>
      </w:r>
    </w:p>
    <w:p>
      <w:pPr>
        <w:spacing w:before="80" w:after="80"/>
      </w:pPr>
      <w:r>
        <w:rPr>
          <w:rFonts w:ascii="黑体" w:hAnsi="黑体" w:eastAsia="黑体"/>
          <w:b/>
          <w:sz w:val="27"/>
        </w:rPr>
        <w:t>2. 上线前准备</w:t>
      </w:r>
    </w:p>
    <w:p>
      <w:pPr>
        <w:spacing w:line="300" w:lineRule="auto" w:after="40"/>
        <w:ind w:left="369"/>
      </w:pPr>
      <w:r>
        <w:rPr>
          <w:rFonts w:ascii="宋体" w:hAnsi="宋体" w:eastAsia="宋体"/>
          <w:sz w:val="21"/>
        </w:rPr>
        <w:t> 数据迁移：从测试环境导入初始化数据，包括用户角色、样例项目、资源池、审批记录、作业样例、工单样例和公告培训数据。</w:t>
      </w:r>
    </w:p>
    <w:p>
      <w:pPr>
        <w:spacing w:line="300" w:lineRule="auto" w:after="40"/>
        <w:ind w:left="369"/>
      </w:pPr>
      <w:r>
        <w:rPr>
          <w:rFonts w:ascii="宋体" w:hAnsi="宋体" w:eastAsia="宋体"/>
          <w:sz w:val="21"/>
        </w:rPr>
        <w:t> 安全配置：启用 HTTPS 或在课程展示环境中说明安全边界；后端接口必须进行登录校验和角色校验；对文件上传、SQL 查询和表单输入进行基本校验。</w:t>
      </w:r>
    </w:p>
    <w:p>
      <w:pPr>
        <w:spacing w:line="300" w:lineRule="auto" w:after="40"/>
        <w:ind w:left="369"/>
      </w:pPr>
      <w:r>
        <w:rPr>
          <w:rFonts w:ascii="宋体" w:hAnsi="宋体" w:eastAsia="宋体"/>
          <w:sz w:val="21"/>
        </w:rPr>
        <w:t> 配置检查：检查数据库连接、静态资源访问、API 接口跨域、日志输出、文件上传目录和模拟调度服务是否可用。</w:t>
      </w:r>
    </w:p>
    <w:p>
      <w:pPr>
        <w:spacing w:line="300" w:lineRule="auto" w:after="40"/>
        <w:ind w:left="369"/>
      </w:pPr>
      <w:r>
        <w:rPr>
          <w:rFonts w:ascii="宋体" w:hAnsi="宋体" w:eastAsia="宋体"/>
          <w:sz w:val="21"/>
        </w:rPr>
        <w:t> 交付物：《部署手册》《环境配置清单》《初始化数据说明》《上线前检查清单》。</w:t>
      </w:r>
    </w:p>
    <w:p>
      <w:pPr>
        <w:spacing w:before="120" w:after="120"/>
      </w:pPr>
      <w:r>
        <w:rPr>
          <w:rFonts w:ascii="黑体" w:hAnsi="黑体" w:eastAsia="黑体"/>
          <w:b/>
          <w:sz w:val="32"/>
        </w:rPr>
        <w:t>四、测试阶段</w:t>
      </w:r>
    </w:p>
    <w:p>
      <w:pPr>
        <w:spacing w:before="80" w:after="80"/>
      </w:pPr>
      <w:r>
        <w:rPr>
          <w:rFonts w:ascii="黑体" w:hAnsi="黑体" w:eastAsia="黑体"/>
          <w:b/>
          <w:sz w:val="27"/>
        </w:rPr>
        <w:t>1. 功能测试</w:t>
      </w:r>
    </w:p>
    <w:p>
      <w:pPr>
        <w:spacing w:line="300" w:lineRule="auto" w:after="40"/>
        <w:ind w:left="369"/>
      </w:pPr>
      <w:r>
        <w:rPr>
          <w:rFonts w:ascii="宋体" w:hAnsi="宋体" w:eastAsia="宋体"/>
          <w:sz w:val="21"/>
        </w:rPr>
        <w:t> 用例设计与测试：根据《SRA2026-G06-测试用例》继续完善并执行测试，重点覆盖登录认证、资源申请、审批流转、作业提交、作业监控、文件管理、统计报表、工单服务和系统管理。</w:t>
      </w:r>
    </w:p>
    <w:p>
      <w:pPr>
        <w:spacing w:line="300" w:lineRule="auto" w:after="40"/>
        <w:ind w:left="369"/>
      </w:pPr>
      <w:r>
        <w:rPr>
          <w:rFonts w:ascii="宋体" w:hAnsi="宋体" w:eastAsia="宋体"/>
          <w:sz w:val="21"/>
        </w:rPr>
        <w:t> 针对 RC-001 新增需求，补充“智能预审通过”“申请信息不完整”“项目额度不足”“资源参数过高”“队列等待时间提示”等测试场景。</w:t>
      </w:r>
    </w:p>
    <w:p>
      <w:pPr>
        <w:spacing w:line="300" w:lineRule="auto" w:after="40"/>
        <w:ind w:left="369"/>
      </w:pPr>
      <w:r>
        <w:rPr>
          <w:rFonts w:ascii="宋体" w:hAnsi="宋体" w:eastAsia="宋体"/>
          <w:sz w:val="21"/>
        </w:rPr>
        <w:t> 工具：使用 Postman 测试后端接口，使用浏览器和 Selenium 思路验证前端交互，使用数据库查询核对状态变更和审计记录。</w:t>
      </w:r>
    </w:p>
    <w:p>
      <w:pPr>
        <w:spacing w:before="80" w:after="80"/>
      </w:pPr>
      <w:r>
        <w:rPr>
          <w:rFonts w:ascii="黑体" w:hAnsi="黑体" w:eastAsia="黑体"/>
          <w:b/>
          <w:sz w:val="27"/>
        </w:rPr>
        <w:t>2. 非功能测试</w:t>
      </w:r>
    </w:p>
    <w:p>
      <w:pPr>
        <w:spacing w:line="300" w:lineRule="auto" w:after="40"/>
        <w:ind w:left="369"/>
      </w:pPr>
      <w:r>
        <w:rPr>
          <w:rFonts w:ascii="宋体" w:hAnsi="宋体" w:eastAsia="宋体"/>
          <w:sz w:val="21"/>
        </w:rPr>
        <w:t> 性能测试：使用 JMeter 模拟 200 个用户访问登录、资源申请、作业状态查询和统计报表接口，目标是常用查询接口平均响应时间控制在 3 秒以内。</w:t>
      </w:r>
    </w:p>
    <w:p>
      <w:pPr>
        <w:spacing w:line="300" w:lineRule="auto" w:after="40"/>
        <w:ind w:left="369"/>
      </w:pPr>
      <w:r>
        <w:rPr>
          <w:rFonts w:ascii="宋体" w:hAnsi="宋体" w:eastAsia="宋体"/>
          <w:sz w:val="21"/>
        </w:rPr>
        <w:t> 安全测试：检查未登录访问、越权访问、弱密码、重复提交、SQL 注入、XSS 输入、文件上传类型限制和敏感信息暴露等问题。</w:t>
      </w:r>
    </w:p>
    <w:p>
      <w:pPr>
        <w:spacing w:line="300" w:lineRule="auto" w:after="40"/>
        <w:ind w:left="369"/>
      </w:pPr>
      <w:r>
        <w:rPr>
          <w:rFonts w:ascii="宋体" w:hAnsi="宋体" w:eastAsia="宋体"/>
          <w:sz w:val="21"/>
        </w:rPr>
        <w:t> 兼容性测试：在 Chrome、Edge 等浏览器中测试主要页面，检查不同屏幕宽度下导航、表格、按钮和弹窗的显示效果。</w:t>
      </w:r>
    </w:p>
    <w:p>
      <w:pPr>
        <w:spacing w:line="300" w:lineRule="auto" w:after="40"/>
        <w:ind w:left="369"/>
      </w:pPr>
      <w:r>
        <w:rPr>
          <w:rFonts w:ascii="宋体" w:hAnsi="宋体" w:eastAsia="宋体"/>
          <w:sz w:val="21"/>
        </w:rPr>
        <w:t> 交付物：《功能测试报告》《性能测试报告》《安全问题记录》《测试修复记录》。</w:t>
      </w:r>
    </w:p>
    <w:p>
      <w:pPr>
        <w:spacing w:before="120" w:after="120"/>
      </w:pPr>
      <w:r>
        <w:rPr>
          <w:rFonts w:ascii="黑体" w:hAnsi="黑体" w:eastAsia="黑体"/>
          <w:b/>
          <w:sz w:val="32"/>
        </w:rPr>
        <w:t>五、里程碑与风险控制</w:t>
      </w:r>
    </w:p>
    <w:p>
      <w:pPr>
        <w:spacing w:line="300" w:lineRule="auto" w:after="40"/>
        <w:ind w:left="369"/>
      </w:pPr>
      <w:r>
        <w:rPr>
          <w:rFonts w:ascii="宋体" w:hAnsi="宋体" w:eastAsia="宋体"/>
          <w:sz w:val="21"/>
        </w:rPr>
        <w:t> 关键里程碑：</w:t>
      </w:r>
    </w:p>
    <w:p>
      <w:pPr>
        <w:spacing w:line="300" w:lineRule="auto" w:after="40"/>
        <w:ind w:left="680"/>
      </w:pPr>
      <w:r>
        <w:rPr>
          <w:rFonts w:ascii="宋体" w:hAnsi="宋体" w:eastAsia="宋体"/>
          <w:sz w:val="21"/>
        </w:rPr>
        <w:t> 完成详细设计评审：确认架构设计、数据库设计、接口设计和智能预审规则是否满足 SRS 与变更报告要求。</w:t>
      </w:r>
    </w:p>
    <w:p>
      <w:pPr>
        <w:spacing w:line="300" w:lineRule="auto" w:after="40"/>
        <w:ind w:left="680"/>
      </w:pPr>
      <w:r>
        <w:rPr>
          <w:rFonts w:ascii="宋体" w:hAnsi="宋体" w:eastAsia="宋体"/>
          <w:sz w:val="21"/>
        </w:rPr>
        <w:t> 完成原型与 UI 更新：完成资源申请智能预审页面、作业排队时间提示和审批参考信息区域的原型更新。</w:t>
      </w:r>
    </w:p>
    <w:p>
      <w:pPr>
        <w:spacing w:line="300" w:lineRule="auto" w:after="40"/>
        <w:ind w:left="680"/>
      </w:pPr>
      <w:r>
        <w:rPr>
          <w:rFonts w:ascii="宋体" w:hAnsi="宋体" w:eastAsia="宋体"/>
          <w:sz w:val="21"/>
        </w:rPr>
        <w:t> 完成前后端开发联调：实现用户登录、资源申请、审批流转、作业监控、统计报表和工单服务的基本闭环。</w:t>
      </w:r>
    </w:p>
    <w:p>
      <w:pPr>
        <w:spacing w:line="300" w:lineRule="auto" w:after="40"/>
        <w:ind w:left="680"/>
      </w:pPr>
      <w:r>
        <w:rPr>
          <w:rFonts w:ascii="宋体" w:hAnsi="宋体" w:eastAsia="宋体"/>
          <w:sz w:val="21"/>
        </w:rPr>
        <w:t> 完成测试验收：执行功能测试、性能测试和安全测试，形成测试报告并完成问题整改。</w:t>
      </w:r>
    </w:p>
    <w:p>
      <w:pPr>
        <w:spacing w:line="300" w:lineRule="auto" w:after="40"/>
        <w:ind w:left="369"/>
      </w:pPr>
      <w:r>
        <w:rPr>
          <w:rFonts w:ascii="宋体" w:hAnsi="宋体" w:eastAsia="宋体"/>
          <w:sz w:val="21"/>
        </w:rPr>
        <w:t> 风险应对：</w:t>
      </w:r>
    </w:p>
    <w:p>
      <w:pPr>
        <w:spacing w:line="300" w:lineRule="auto" w:after="40"/>
        <w:ind w:left="680"/>
      </w:pPr>
      <w:r>
        <w:rPr>
          <w:rFonts w:ascii="宋体" w:hAnsi="宋体" w:eastAsia="宋体"/>
          <w:sz w:val="21"/>
        </w:rPr>
        <w:t> 技术风险：若真实调度系统接口无法接入，则启用模拟调度接口和样例作业数据，保证作业监控与排队时间估算流程可演示。</w:t>
      </w:r>
    </w:p>
    <w:p>
      <w:pPr>
        <w:spacing w:line="300" w:lineRule="auto" w:after="40"/>
        <w:ind w:left="680"/>
      </w:pPr>
      <w:r>
        <w:rPr>
          <w:rFonts w:ascii="宋体" w:hAnsi="宋体" w:eastAsia="宋体"/>
          <w:sz w:val="21"/>
        </w:rPr>
        <w:t> 进度风险：若开发延期，优先实现登录、资源申请、审批、作业监控和工单服务等核心流程，统计报表和高级配置功能可作为后续优化。</w:t>
      </w:r>
    </w:p>
    <w:p>
      <w:pPr>
        <w:spacing w:line="300" w:lineRule="auto" w:after="40"/>
        <w:ind w:left="680"/>
      </w:pPr>
      <w:r>
        <w:rPr>
          <w:rFonts w:ascii="宋体" w:hAnsi="宋体" w:eastAsia="宋体"/>
          <w:sz w:val="21"/>
        </w:rPr>
        <w:t> 数据风险：若测试数据不足，由各模块负责人补充样例项目、样例资源池、样例作业、审批记录和工单记录，保证演示过程连贯。</w:t>
      </w:r>
    </w:p>
    <w:p>
      <w:pPr>
        <w:spacing w:line="300" w:lineRule="auto" w:after="40"/>
        <w:ind w:left="680"/>
      </w:pPr>
      <w:r>
        <w:rPr>
          <w:rFonts w:ascii="宋体" w:hAnsi="宋体" w:eastAsia="宋体"/>
          <w:sz w:val="21"/>
        </w:rPr>
        <w:t> 人员协作风险：通过每周例会、任务清单、版本记录和共享文档进行跟踪，确保各成员的工作成果可以及时汇总。</w:t>
      </w:r>
    </w:p>
    <w:p>
      <w:pPr>
        <w:spacing w:line="300" w:lineRule="auto" w:after="40"/>
        <w:ind w:left="369"/>
      </w:pPr>
      <w:r>
        <w:rPr>
          <w:rFonts w:ascii="宋体" w:hAnsi="宋体" w:eastAsia="宋体"/>
          <w:sz w:val="21"/>
        </w:rPr>
        <w:t> 最终交付物：变更后的 SRS、用户手册、测试用例、原型文件、需求变更报告、影响分析报告、后续阶段计划和课程汇报材料。</w:t>
      </w:r>
    </w:p>
    <w:sectPr w:rsidR="00FC693F" w:rsidRPr="0006063C" w:rsidSect="00034616">
      <w:headerReference w:type="default" r:id="rId9"/>
      <w:pgSz w:w="12240" w:h="15840"/>
      <w:pgMar w:top="1247" w:right="1417" w:bottom="1134" w:left="141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color w:val="505050"/>
        <w:sz w:val="18"/>
      </w:rPr>
      <w:t>SRA2026-G06-后续阶段的计划性安排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