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等线" w:hAnsi="等线" w:eastAsia="等线"/>
        </w:rPr>
        <w:t>SRA2026-G06 需求变更管理里程碑汇报讲稿</w:t>
      </w:r>
    </w:p>
    <w:p>
      <w:pPr>
        <w:pStyle w:val="Heading1"/>
      </w:pPr>
      <w:r>
        <w:rPr>
          <w:rFonts w:ascii="等线" w:hAnsi="等线" w:eastAsia="等线"/>
        </w:rPr>
        <w:t>使用说明：本讲稿对应重制版PPT，按页序编写，口径参考UML讲稿。整体时长建议控制在8到10分钟，可按“背景、来源、变更内容、影响分析、CCB、计划、收尾”分给不同成员。</w:t>
      </w:r>
    </w:p>
    <w:p>
      <w:pPr>
        <w:pStyle w:val="Heading1"/>
      </w:pPr>
      <w:r>
        <w:rPr>
          <w:rFonts w:ascii="等线" w:hAnsi="等线" w:eastAsia="等线"/>
        </w:rPr>
        <w:t>逐页讲稿</w:t>
      </w:r>
    </w:p>
    <w:p>
      <w:pPr>
        <w:pStyle w:val="Heading2"/>
      </w:pPr>
      <w:r>
        <w:rPr>
          <w:rFonts w:ascii="等线" w:hAnsi="等线" w:eastAsia="等线"/>
        </w:rPr>
        <w:t>第1页 封面</w:t>
      </w:r>
    </w:p>
    <w:p>
      <w:r>
        <w:rPr>
          <w:rFonts w:ascii="等线" w:hAnsi="等线" w:eastAsia="等线"/>
        </w:rPr>
        <w:t>各位老师、同学大家好，我们是第6组。本次汇报主题是《超算中心运营管理门户网站》的需求变更管理里程碑汇报。前一阶段我们的SRS已经通过评审并形成基线，所以这次不是重新写一份需求，而是说明用户变化如何被提出、分析、评审、跟踪和归档。</w:t>
      </w:r>
    </w:p>
    <w:p>
      <w:pPr>
        <w:pStyle w:val="Heading2"/>
      </w:pPr>
      <w:r>
        <w:rPr>
          <w:rFonts w:ascii="等线" w:hAnsi="等线" w:eastAsia="等线"/>
        </w:rPr>
        <w:t>第2页 目录</w:t>
      </w:r>
    </w:p>
    <w:p>
      <w:r>
        <w:rPr>
          <w:rFonts w:ascii="等线" w:hAnsi="等线" w:eastAsia="等线"/>
        </w:rPr>
        <w:t>本次汇报分为八部分：先说明阶段背景和评审要求，再讲二次客户访谈和变更来源，接着说明RC-001变更内容、可行性和影响分析，然后介绍CCB组织、需求管理台账、变更阶段甘特图，最后展示分工、评分、参考资料和总结。</w:t>
      </w:r>
    </w:p>
    <w:p>
      <w:pPr>
        <w:pStyle w:val="Heading2"/>
      </w:pPr>
      <w:r>
        <w:rPr>
          <w:rFonts w:ascii="等线" w:hAnsi="等线" w:eastAsia="等线"/>
        </w:rPr>
        <w:t>第3页 阶段定位与成功标准</w:t>
      </w:r>
    </w:p>
    <w:p>
      <w:r>
        <w:rPr>
          <w:rFonts w:ascii="等线" w:hAnsi="等线" w:eastAsia="等线"/>
        </w:rPr>
        <w:t>这一页说明本阶段要达成什么。我们把成功标准概括为六点：来源可信、影响清楚、决策受控、计划可执行、追踪完整、评审可量化。也就是说，需求变更管理不只是写一份报告，而是要形成从用户来源到后续计划的闭环。</w:t>
      </w:r>
    </w:p>
    <w:p>
      <w:pPr>
        <w:pStyle w:val="Heading2"/>
      </w:pPr>
      <w:r>
        <w:rPr>
          <w:rFonts w:ascii="等线" w:hAnsi="等线" w:eastAsia="等线"/>
        </w:rPr>
        <w:t>第4页 评审表18项覆盖路径</w:t>
      </w:r>
    </w:p>
    <w:p>
      <w:r>
        <w:rPr>
          <w:rFonts w:ascii="等线" w:hAnsi="等线" w:eastAsia="等线"/>
        </w:rPr>
        <w:t>这里直接对照《评审表-需求变更管理》。我们把18项要求分成里程碑材料、会议与评审、配置管理、需求管理、变更分析、CCB决策、项目计划和团队复盘八类。后面的每一页都可以回到这些评审项。</w:t>
      </w:r>
    </w:p>
    <w:p>
      <w:pPr>
        <w:pStyle w:val="Heading2"/>
      </w:pPr>
      <w:r>
        <w:rPr>
          <w:rFonts w:ascii="等线" w:hAnsi="等线" w:eastAsia="等线"/>
        </w:rPr>
        <w:t>第5页 二次客户访谈：变更从哪里来</w:t>
      </w:r>
    </w:p>
    <w:p>
      <w:r>
        <w:rPr>
          <w:rFonts w:ascii="等线" w:hAnsi="等线" w:eastAsia="等线"/>
        </w:rPr>
        <w:t>本次变更来自课程模拟二次客户访谈。普通用户希望提交前知道材料是否完整，PI希望审批时看到配额和申请合理性，管理员希望减少无效申请，运维希望提前提示队列拥塞和资源紧张。由此归纳出提交前预审和排队时间预估的需求。</w:t>
      </w:r>
    </w:p>
    <w:p>
      <w:pPr>
        <w:pStyle w:val="Heading2"/>
      </w:pPr>
      <w:r>
        <w:rPr>
          <w:rFonts w:ascii="等线" w:hAnsi="等线" w:eastAsia="等线"/>
        </w:rPr>
        <w:t>第6页 RC-001需求变更申请</w:t>
      </w:r>
    </w:p>
    <w:p>
      <w:r>
        <w:rPr>
          <w:rFonts w:ascii="等线" w:hAnsi="等线" w:eastAsia="等线"/>
        </w:rPr>
        <w:t>RC-001的名称是“新增资源申请智能预审与排队时间预估功能”。它的边界很重要：它不替代PI和管理员审批，不接入真实生产调度算法，课程阶段主要以原型、字段和静态或模拟数据说明。</w:t>
      </w:r>
    </w:p>
    <w:p>
      <w:pPr>
        <w:pStyle w:val="Heading2"/>
      </w:pPr>
      <w:r>
        <w:rPr>
          <w:rFonts w:ascii="等线" w:hAnsi="等线" w:eastAsia="等线"/>
        </w:rPr>
        <w:t>第7页 RC-001子需求拆解</w:t>
      </w:r>
    </w:p>
    <w:p>
      <w:r>
        <w:rPr>
          <w:rFonts w:ascii="等线" w:hAnsi="等线" w:eastAsia="等线"/>
        </w:rPr>
        <w:t>我们把RC-001拆成四个子需求：材料智能预审、排队时间预估展示、审批辅助说明和预审消息通知。这里要强调，预审只作提示，最终审批仍由人工完成；排队时间也只给估计区间，不作为承诺。</w:t>
      </w:r>
    </w:p>
    <w:p>
      <w:pPr>
        <w:pStyle w:val="Heading2"/>
      </w:pPr>
      <w:r>
        <w:rPr>
          <w:rFonts w:ascii="等线" w:hAnsi="等线" w:eastAsia="等线"/>
        </w:rPr>
        <w:t>第8页 优先级排序：QFD加权评分</w:t>
      </w:r>
    </w:p>
    <w:p>
      <w:r>
        <w:rPr>
          <w:rFonts w:ascii="等线" w:hAnsi="等线" w:eastAsia="等线"/>
        </w:rPr>
        <w:t>优先级采用QFD加权评分，考虑用户价值、管理收益、实现可行、风险可控和文档影响。材料智能预审、排队时间预估和审批辅助说明都是高优先级，预审消息通知作为中优先级纳入后续完善。</w:t>
      </w:r>
    </w:p>
    <w:p>
      <w:pPr>
        <w:pStyle w:val="Heading2"/>
      </w:pPr>
      <w:r>
        <w:rPr>
          <w:rFonts w:ascii="等线" w:hAnsi="等线" w:eastAsia="等线"/>
        </w:rPr>
        <w:t>第9页 新需求可行性分析</w:t>
      </w:r>
    </w:p>
    <w:p>
      <w:r>
        <w:rPr>
          <w:rFonts w:ascii="等线" w:hAnsi="等线" w:eastAsia="等线"/>
        </w:rPr>
        <w:t>从技术上看，规则库加模拟队列数据即可支撑课程级原型；从经济上看，新增约4人日，成本可控；从操作上看，用户和审批人都能受益；从安全上看，预审不自动拒绝申请，避免算法替代人工审批。</w:t>
      </w:r>
    </w:p>
    <w:p>
      <w:pPr>
        <w:pStyle w:val="Heading2"/>
      </w:pPr>
      <w:r>
        <w:rPr>
          <w:rFonts w:ascii="等线" w:hAnsi="等线" w:eastAsia="等线"/>
        </w:rPr>
        <w:t>第10页 需求变更影响分析总览</w:t>
      </w:r>
    </w:p>
    <w:p>
      <w:r>
        <w:rPr>
          <w:rFonts w:ascii="等线" w:hAnsi="等线" w:eastAsia="等线"/>
        </w:rPr>
        <w:t>影响分析是本阶段的重点。RC-001与SRS基线不冲突，但会影响SRS变更记录、原型、测试用例、用户手册、数据字段、接口说明和项目计划。因此我们不是简单说“有影响”，而是明确列出影响对象、处理方式和追踪方式。</w:t>
      </w:r>
    </w:p>
    <w:p>
      <w:pPr>
        <w:pStyle w:val="Heading2"/>
      </w:pPr>
      <w:r>
        <w:rPr>
          <w:rFonts w:ascii="等线" w:hAnsi="等线" w:eastAsia="等线"/>
        </w:rPr>
        <w:t>第11页 原型、测试用例与用户手册更新</w:t>
      </w:r>
    </w:p>
    <w:p>
      <w:r>
        <w:rPr>
          <w:rFonts w:ascii="等线" w:hAnsi="等线" w:eastAsia="等线"/>
        </w:rPr>
        <w:t>原型方面，资源申请页需要增加智能预审结果卡片，审批详情页需要增加审批辅助说明。测试方面新增材料缺失、配额不足、队列紧张、审批辅助、预审降级等用例。用户手册则要解释预审结果、排队时间和仅供参考提示。</w:t>
      </w:r>
    </w:p>
    <w:p>
      <w:pPr>
        <w:pStyle w:val="Heading2"/>
      </w:pPr>
      <w:r>
        <w:rPr>
          <w:rFonts w:ascii="等线" w:hAnsi="等线" w:eastAsia="等线"/>
        </w:rPr>
        <w:t>第12页 CCB组织结构与人选设置</w:t>
      </w:r>
    </w:p>
    <w:p>
      <w:r>
        <w:rPr>
          <w:rFonts w:ascii="等线" w:hAnsi="等线" w:eastAsia="等线"/>
        </w:rPr>
        <w:t>CCB由项目负责人、需求负责人、测试与手册负责人、数据与配置负责人、原型与会议记录负责人组成。这样设置是为了覆盖不同评审视角，保证变更不是单人决定，而是通过会议讨论、投票和纪要形成受控决策。</w:t>
      </w:r>
    </w:p>
    <w:p>
      <w:pPr>
        <w:pStyle w:val="Heading2"/>
      </w:pPr>
      <w:r>
        <w:rPr>
          <w:rFonts w:ascii="等线" w:hAnsi="等线" w:eastAsia="等线"/>
        </w:rPr>
        <w:t>第13页 需求管理台账与跟踪矩阵</w:t>
      </w:r>
    </w:p>
    <w:p>
      <w:r>
        <w:rPr>
          <w:rFonts w:ascii="等线" w:hAnsi="等线" w:eastAsia="等线"/>
        </w:rPr>
        <w:t>课程阶段我们采用轻量化需求管理台账来模拟需求管理工具。每个子需求都记录来源、SRS和原型影响、数据字段、测试用例、状态和负责人。这样老师追问时，我们可以从RC-001一路追溯到访谈发现、页面、字段和测试。</w:t>
      </w:r>
    </w:p>
    <w:p>
      <w:pPr>
        <w:pStyle w:val="Heading2"/>
      </w:pPr>
      <w:r>
        <w:rPr>
          <w:rFonts w:ascii="等线" w:hAnsi="等线" w:eastAsia="等线"/>
        </w:rPr>
        <w:t>第14页 软件需求变更阶段甘特图</w:t>
      </w:r>
    </w:p>
    <w:p>
      <w:r>
        <w:rPr>
          <w:rFonts w:ascii="等线" w:hAnsi="等线" w:eastAsia="等线"/>
        </w:rPr>
        <w:t>这一页是这次按要求补充的甘特图。可以看到，从6月5日二次访谈开始，到申请报告、可行性和影响分析、CCB会议、原型测试手册更新、台账矩阵、PPT讲稿和彩排，再到评审整改与归档，任务顺序和依赖关系是清楚的。</w:t>
      </w:r>
    </w:p>
    <w:p>
      <w:pPr>
        <w:pStyle w:val="Heading2"/>
      </w:pPr>
      <w:r>
        <w:rPr>
          <w:rFonts w:ascii="等线" w:hAnsi="等线" w:eastAsia="等线"/>
        </w:rPr>
        <w:t>第15页 变更里程碑与依赖关系</w:t>
      </w:r>
    </w:p>
    <w:p>
      <w:r>
        <w:rPr>
          <w:rFonts w:ascii="等线" w:hAnsi="等线" w:eastAsia="等线"/>
        </w:rPr>
        <w:t>这一页把甘特图进一步解释成里程碑。访谈完成后才能形成申请，申请进入分析，分析材料进入CCB会议，CCB通过后再并行更新原型、测试、手册和跟踪矩阵，最后统一归档提交。</w:t>
      </w:r>
    </w:p>
    <w:p>
      <w:pPr>
        <w:pStyle w:val="Heading2"/>
      </w:pPr>
      <w:r>
        <w:rPr>
          <w:rFonts w:ascii="等线" w:hAnsi="等线" w:eastAsia="等线"/>
        </w:rPr>
        <w:t>第16页 会议机制、配置管理与内部评审</w:t>
      </w:r>
    </w:p>
    <w:p>
      <w:r>
        <w:rPr>
          <w:rFonts w:ascii="等线" w:hAnsi="等线" w:eastAsia="等线"/>
        </w:rPr>
        <w:t>需求变更管理特别强调留痕。本阶段包括二次访谈会、CCB会议、内部评审会和答辩彩排会。所有会议都记录主题、时间、参会人、结论、待办、负责人和截止时间；所有文档统一归档在软件需求变更文件夹。</w:t>
      </w:r>
    </w:p>
    <w:p>
      <w:pPr>
        <w:pStyle w:val="Heading2"/>
      </w:pPr>
      <w:r>
        <w:rPr>
          <w:rFonts w:ascii="等线" w:hAnsi="等线" w:eastAsia="等线"/>
        </w:rPr>
        <w:t>第17页 组内成员分工与演示安排</w:t>
      </w:r>
    </w:p>
    <w:p>
      <w:r>
        <w:rPr>
          <w:rFonts w:ascii="等线" w:hAnsi="等线" w:eastAsia="等线"/>
        </w:rPr>
        <w:t>这一页展示成员分工。吴易骏负责总体结构、CCB和计划影响；陈许恺负责二次访谈和申请报告；蒋长麟负责台账和跟踪矩阵；王涛负责测试、用户手册和整改；肖泓宇负责会议记录、原型影响和PPT整合。</w:t>
      </w:r>
    </w:p>
    <w:p>
      <w:pPr>
        <w:pStyle w:val="Heading2"/>
      </w:pPr>
      <w:r>
        <w:rPr>
          <w:rFonts w:ascii="等线" w:hAnsi="等线" w:eastAsia="等线"/>
        </w:rPr>
        <w:t>第18页 组内成员评分</w:t>
      </w:r>
    </w:p>
    <w:p>
      <w:r>
        <w:rPr>
          <w:rFonts w:ascii="等线" w:hAnsi="等线" w:eastAsia="等线"/>
        </w:rPr>
        <w:t>评分页延续前面项目计划书汇报的风格。我们按照本阶段每位成员承担的任务和主要产出进行评价，既体现贡献，也满足评审表中成员评价和绩效排序的要求。</w:t>
      </w:r>
    </w:p>
    <w:p>
      <w:pPr>
        <w:pStyle w:val="Heading2"/>
      </w:pPr>
      <w:r>
        <w:rPr>
          <w:rFonts w:ascii="等线" w:hAnsi="等线" w:eastAsia="等线"/>
        </w:rPr>
        <w:t>第19页 参考资料</w:t>
      </w:r>
    </w:p>
    <w:p>
      <w:r>
        <w:rPr>
          <w:rFonts w:ascii="等线" w:hAnsi="等线" w:eastAsia="等线"/>
        </w:rPr>
        <w:t>本页列出参考资料，包括需求变更管理评审表、SRS基线、项目计划书、界面原型、前序UML材料，以及本阶段形成的访谈记录、申请报告、可行性分析、影响分析、CCB纪要、后续计划和跟踪矩阵。</w:t>
      </w:r>
    </w:p>
    <w:p>
      <w:pPr>
        <w:pStyle w:val="Heading2"/>
      </w:pPr>
      <w:r>
        <w:rPr>
          <w:rFonts w:ascii="等线" w:hAnsi="等线" w:eastAsia="等线"/>
        </w:rPr>
        <w:t>第20页 结束页</w:t>
      </w:r>
    </w:p>
    <w:p>
      <w:r>
        <w:rPr>
          <w:rFonts w:ascii="等线" w:hAnsi="等线" w:eastAsia="等线"/>
        </w:rPr>
        <w:t>最后总结一下：本次RC-001已经完成从二次客户访谈、变更申请、可行性分析、影响分析、CCB决策，到后续计划和配置归档的完整闭环。我们的汇报到这里结束，谢谢大家，欢迎老师和同学提问。</w:t>
      </w:r>
    </w:p>
    <w:p>
      <w:pPr>
        <w:pStyle w:val="Heading2"/>
      </w:pPr>
      <w:r>
        <w:rPr>
          <w:rFonts w:ascii="等线" w:hAnsi="等线" w:eastAsia="等线"/>
        </w:rPr>
        <w:t>答辩补充口径</w:t>
      </w:r>
    </w:p>
    <w:p>
      <w:r>
        <w:rPr>
          <w:rFonts w:ascii="等线" w:hAnsi="等线" w:eastAsia="等线"/>
        </w:rPr>
        <w:t>如果老师问“变更从哪里来”，回答来自二次客户访谈和原型评审；如果问“是否冲突”，回答不冲突，是资源申请和审批流程增强；如果问“怎么追踪”，回答通过需求管理台账和跟踪矩阵；如果问“计划影响”，回答新增约4人日，关键路径增加1天，通过并行任务控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等线" w:hAnsi="等线" w:eastAsia="等线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等线" w:hAnsi="等线" w:eastAsia="等线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等线" w:hAnsi="等线" w:eastAsia="等线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等线" w:hAnsi="等线" w:eastAsia="等线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等线" w:hAnsi="等线" w:eastAsia="等线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等线" w:hAnsi="等线" w:eastAsia="等线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等线" w:hAnsi="等线" w:eastAsia="等线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等线" w:hAnsi="等线" w:eastAsia="等线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等线" w:hAnsi="等线" w:eastAsia="等线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等线" w:hAnsi="等线" w:eastAsia="等线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等线" w:hAnsi="等线" w:eastAsia="等线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等线" w:hAnsi="等线" w:eastAsia="等线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等线" w:hAnsi="等线" w:eastAsia="等线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等线" w:hAnsi="等线" w:eastAsia="等线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等线" w:hAnsi="等线" w:eastAsia="等线"/>
    </w:rPr>
  </w:style>
  <w:style w:type="table" w:default="1" w:styleId="TableNormal">
    <w:name w:val="Normal Table"/>
    <w:uiPriority w:val="99"/>
    <w:semiHidden/>
    <w:unhideWhenUsed/>
    <w:rPr>
      <w:rFonts w:ascii="等线" w:hAnsi="等线" w:eastAsia="等线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等线" w:hAnsi="等线" w:eastAsia="等线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等线" w:hAnsi="等线" w:eastAsia="等线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等线" w:hAnsi="等线" w:eastAsia="等线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等线" w:hAnsi="等线" w:eastAsia="等线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等线" w:hAnsi="等线" w:eastAsia="等线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等线" w:hAnsi="等线" w:eastAsia="等线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等线" w:hAnsi="等线" w:eastAsia="等线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等线" w:hAnsi="等线" w:eastAsia="等线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等线" w:hAnsi="等线" w:eastAsia="等线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等线" w:hAnsi="等线" w:eastAsia="等线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等线" w:hAnsi="等线" w:eastAsia="等线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等线" w:hAnsi="等线" w:eastAsia="等线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等线" w:hAnsi="等线" w:eastAsia="等线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等线" w:hAnsi="等线" w:eastAsia="等线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等线" w:hAnsi="等线" w:eastAsia="等线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等线" w:hAnsi="等线" w:eastAsia="等线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等线" w:hAnsi="等线" w:eastAsia="等线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等线" w:hAnsi="等线" w:eastAsia="等线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等线" w:hAnsi="等线" w:eastAsia="等线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等线" w:hAnsi="等线" w:eastAsia="等线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等线" w:hAnsi="等线" w:eastAsia="等线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等线" w:hAnsi="等线" w:eastAsia="等线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等线" w:hAnsi="等线" w:eastAsia="等线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等线" w:hAnsi="等线" w:eastAsia="等线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等线" w:hAnsi="等线" w:eastAsia="等线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等线" w:hAnsi="等线" w:eastAsia="等线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等线" w:hAnsi="等线" w:eastAsia="等线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等线" w:hAnsi="等线" w:eastAsia="等线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等线" w:hAnsi="等线" w:eastAsia="等线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等线" w:hAnsi="等线" w:eastAsia="等线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等线" w:hAnsi="等线" w:eastAsia="等线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等线" w:hAnsi="等线" w:eastAsia="等线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等线" w:hAnsi="等线" w:eastAsia="等线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等线" w:hAnsi="等线" w:eastAsia="等线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等线" w:hAnsi="等线" w:eastAsia="等线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等线" w:hAnsi="等线" w:eastAsia="等线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等线" w:hAnsi="等线" w:eastAsia="等线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等线" w:hAnsi="等线" w:eastAsia="等线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等线" w:hAnsi="等线" w:eastAsia="等线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等线" w:hAnsi="等线" w:eastAsia="等线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等线" w:hAnsi="等线" w:eastAsia="等线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等线" w:hAnsi="等线" w:eastAsia="等线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等线" w:hAnsi="等线" w:eastAsia="等线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等线" w:hAnsi="等线" w:eastAsia="等线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等线" w:hAnsi="等线" w:eastAsia="等线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等线" w:hAnsi="等线" w:eastAsia="等线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等线" w:hAnsi="等线" w:eastAsia="等线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等线" w:hAnsi="等线" w:eastAsia="等线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等线" w:hAnsi="等线" w:eastAsia="等线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等线" w:hAnsi="等线" w:eastAsia="等线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等线" w:hAnsi="等线" w:eastAsia="等线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等线" w:hAnsi="等线" w:eastAsia="等线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等线" w:hAnsi="等线" w:eastAsia="等线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等线" w:hAnsi="等线" w:eastAsia="等线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等线" w:hAnsi="等线" w:eastAsia="等线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等线" w:hAnsi="等线" w:eastAsia="等线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等线" w:hAnsi="等线" w:eastAsia="等线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等线" w:hAnsi="等线" w:eastAsia="等线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等线" w:hAnsi="等线" w:eastAsia="等线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等线" w:hAnsi="等线" w:eastAsia="等线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等线" w:hAnsi="等线" w:eastAsia="等线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等线" w:hAnsi="等线" w:eastAsia="等线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等线" w:hAnsi="等线" w:eastAsia="等线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等线" w:hAnsi="等线" w:eastAsia="等线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等线" w:hAnsi="等线" w:eastAsia="等线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等线" w:hAnsi="等线" w:eastAsia="等线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等线" w:hAnsi="等线" w:eastAsia="等线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等线" w:hAnsi="等线" w:eastAsia="等线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等线" w:hAnsi="等线" w:eastAsia="等线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等线" w:hAnsi="等线" w:eastAsia="等线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等线" w:hAnsi="等线" w:eastAsia="等线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等线" w:hAnsi="等线" w:eastAsia="等线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等线" w:hAnsi="等线" w:eastAsia="等线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等线" w:hAnsi="等线" w:eastAsia="等线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等线" w:hAnsi="等线" w:eastAsia="等线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等线" w:hAnsi="等线" w:eastAsia="等线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等线" w:hAnsi="等线" w:eastAsia="等线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等线" w:hAnsi="等线" w:eastAsia="等线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等线" w:hAnsi="等线" w:eastAsia="等线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等线" w:hAnsi="等线" w:eastAsia="等线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等线" w:hAnsi="等线" w:eastAsia="等线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等线" w:hAnsi="等线" w:eastAsia="等线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等线" w:hAnsi="等线" w:eastAsia="等线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等线" w:hAnsi="等线" w:eastAsia="等线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等线" w:hAnsi="等线" w:eastAsia="等线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等线" w:hAnsi="等线" w:eastAsia="等线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等线" w:hAnsi="等线" w:eastAsia="等线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等线" w:hAnsi="等线" w:eastAsia="等线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等线" w:hAnsi="等线" w:eastAsia="等线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等线" w:hAnsi="等线" w:eastAsia="等线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等线" w:hAnsi="等线" w:eastAsia="等线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等线" w:hAnsi="等线" w:eastAsia="等线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等线" w:hAnsi="等线" w:eastAsia="等线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等线" w:hAnsi="等线" w:eastAsia="等线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等线" w:hAnsi="等线" w:eastAsia="等线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等线" w:hAnsi="等线" w:eastAsia="等线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等线" w:hAnsi="等线" w:eastAsia="等线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等线" w:hAnsi="等线" w:eastAsia="等线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等线" w:hAnsi="等线" w:eastAsia="等线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等线" w:hAnsi="等线" w:eastAsia="等线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等线" w:hAnsi="等线" w:eastAsia="等线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等线" w:hAnsi="等线" w:eastAsia="等线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等线" w:hAnsi="等线" w:eastAsia="等线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等线" w:hAnsi="等线" w:eastAsia="等线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等线" w:hAnsi="等线" w:eastAsia="等线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等线" w:hAnsi="等线" w:eastAsia="等线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等线" w:hAnsi="等线" w:eastAsia="等线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等线" w:hAnsi="等线" w:eastAsia="等线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等线" w:hAnsi="等线" w:eastAsia="等线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等线" w:hAnsi="等线" w:eastAsia="等线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等线" w:hAnsi="等线" w:eastAsia="等线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等线" w:hAnsi="等线" w:eastAsia="等线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等线" w:hAnsi="等线" w:eastAsia="等线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等线" w:hAnsi="等线" w:eastAsia="等线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等线" w:hAnsi="等线" w:eastAsia="等线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等线" w:hAnsi="等线" w:eastAsia="等线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等线" w:hAnsi="等线" w:eastAsia="等线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等线" w:hAnsi="等线" w:eastAsia="等线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等线" w:hAnsi="等线" w:eastAsia="等线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等线" w:hAnsi="等线" w:eastAsia="等线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等线" w:hAnsi="等线" w:eastAsia="等线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等线" w:hAnsi="等线" w:eastAsia="等线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等线" w:hAnsi="等线" w:eastAsia="等线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等线" w:hAnsi="等线" w:eastAsia="等线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等线" w:hAnsi="等线" w:eastAsia="等线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等线" w:hAnsi="等线" w:eastAsia="等线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等线" w:hAnsi="等线" w:eastAsia="等线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等线" w:hAnsi="等线" w:eastAsia="等线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等线" w:hAnsi="等线" w:eastAsia="等线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等线" w:hAnsi="等线" w:eastAsia="等线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等线" w:hAnsi="等线" w:eastAsia="等线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等线" w:hAnsi="等线" w:eastAsia="等线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等线" w:hAnsi="等线" w:eastAsia="等线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等线" w:hAnsi="等线" w:eastAsia="等线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等线" w:hAnsi="等线" w:eastAsia="等线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等线" w:hAnsi="等线" w:eastAsia="等线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等线" w:hAnsi="等线" w:eastAsia="等线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等线" w:hAnsi="等线" w:eastAsia="等线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等线" w:hAnsi="等线" w:eastAsia="等线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等线" w:hAnsi="等线" w:eastAsia="等线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等线" w:hAnsi="等线" w:eastAsia="等线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等线" w:hAnsi="等线" w:eastAsia="等线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等线" w:hAnsi="等线" w:eastAsia="等线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等线" w:hAnsi="等线" w:eastAsia="等线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等线" w:hAnsi="等线" w:eastAsia="等线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等线" w:hAnsi="等线" w:eastAsia="等线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等线" w:hAnsi="等线" w:eastAsia="等线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