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yTitle"/>
      </w:pPr>
      <w:r>
        <w:rPr>
          <w:rFonts w:ascii="Times New Roman" w:hAnsi="Times New Roman" w:eastAsia="宋体"/>
          <w:b/>
          <w:color w:val="1F2F4F"/>
          <w:sz w:val="32"/>
        </w:rPr>
        <w:t>UML基础Ⅱ：界面原型</w:t>
        <w:br/>
        <w:t>10分钟讲稿</w:t>
      </w:r>
    </w:p>
    <w:p>
      <w:pPr>
        <w:pStyle w:val="SubTitle"/>
      </w:pPr>
      <w:r>
        <w:rPr>
          <w:rFonts w:ascii="Times New Roman" w:hAnsi="Times New Roman" w:eastAsia="宋体"/>
          <w:b w:val="0"/>
          <w:color w:val="4F6272"/>
          <w:sz w:val="24"/>
        </w:rPr>
        <w:t>基于《SRA2026-G06-UML基础Ⅱ：界面原型》修改版PPT</w:t>
        <w:br/>
        <w:t>软件需求分析原理与实践｜第6组</w:t>
      </w:r>
    </w:p>
    <w:p>
      <w:pPr>
        <w:pStyle w:val="SubTitle"/>
      </w:pPr>
      <w:r>
        <w:rPr>
          <w:rFonts w:ascii="Times New Roman" w:hAnsi="Times New Roman" w:eastAsia="宋体"/>
          <w:b w:val="0"/>
          <w:color w:val="4F6272"/>
          <w:sz w:val="24"/>
        </w:rPr>
        <w:t>项目：超算中心运营管理门户网站</w:t>
      </w:r>
    </w:p>
    <w:p>
      <w:pPr>
        <w:jc w:val="center"/>
      </w:pPr>
      <w:r>
        <w:rPr>
          <w:rFonts w:ascii="Times New Roman" w:hAnsi="Times New Roman" w:eastAsia="宋体"/>
          <w:b w:val="0"/>
          <w:color w:val="666666"/>
          <w:sz w:val="22"/>
        </w:rPr>
        <w:t>使用说明：本讲稿按PPT页序组织，包含5个互动问题的标准答案与简要解析。现场互动时可先停顿2—3秒，再根据讲稿给出解释。</w:t>
      </w:r>
    </w:p>
    <w:p>
      <w:r>
        <w:br w:type="page"/>
      </w:r>
    </w:p>
    <w:p>
      <w:pPr>
        <w:pStyle w:val="Heading1"/>
      </w:pPr>
      <w:r>
        <w:t>一、开场与目录（第1—2页）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各位老师、同学大家好，我们是第6组。今天我们汇报的主题是“UML基础Ⅱ：界面原型”，项目背景是超算中心运营管理门户网站。我们这次不再单讲抽象概念，而是把登录入口、资源申请、审批处理、作业监控和账单服务这些核心任务，放到一套具体的页面原型中来展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整场汇报大致分为五部分：第一部分说明界面原型是什么、为什么这一阶段要先做原型；第二部分讲项目中的关键页面；第三部分强调这些页面如何和超算门户的角色、流程、状态对应起来；第四部分穿插五个互动问题；最后补充成员分工、评分和参考资料。</w:t>
      </w:r>
    </w:p>
    <w:p>
      <w:pPr>
        <w:pStyle w:val="Heading1"/>
      </w:pPr>
      <w:r>
        <w:t>二、为什么这一部分要讲界面原型（第3—6页）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先看第3页。这里我们想说明，界面原型关注的不是底层代码，而是页面长什么样、用户怎么点、信息怎么流动、不同角色是否看到不同入口。对课程项目来说，原型最大的价值，是能把文字需求尽快变成可以被讨论、被修改的界面方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4页进一步结合我们的项目特点来说明：超算中心运营管理门户网站角色多、流程长、状态多、信息也非常密集。普通用户关心申请和作业，PI或者审批人关心待审批列表，管理员和运维又更关心配额开通、监控、公告和服务支持。因此，这个项目特别适合先做原型，再去细化后续建模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5页我们把原型分成三种常见形态：低保真线框更适合快速讨论布局和功能分区；中保真页面原型适合评审导航、表单和信息层级；高保真原型更接近最终产品，适合可用性测试和展示。对于我们的课程项目来说，中保真到高保真的结合，是最适合答辩和课堂展示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6页讲的是信息架构和导航。原型不能只画单页，必须先想清楚导航层级。我们这里把一级导航按用户任务来组织，比如资源申请、作业中心、审批中心、帮助工单、账单报表，而不是按技术模块命名。这样做的原因是，用户进入门户以后最先想到的是“我要做什么”，而不是“系统用了什么技术”。</w:t>
      </w:r>
    </w:p>
    <w:p>
      <w:pPr>
        <w:pStyle w:val="Heading2"/>
      </w:pPr>
      <w:r>
        <w:t>互动问题1（第8页，对应第7页登录页原型）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提问时可以这样说：请大家结合上一页的登录与门户入口原型想一想，评审时最该先验证哪一点？</w:t>
      </w:r>
    </w:p>
    <w:p>
      <w:pPr>
        <w:ind w:left="420"/>
      </w:pPr>
      <w:r>
        <w:rPr>
          <w:rFonts w:ascii="Times New Roman" w:hAnsi="Times New Roman" w:eastAsia="宋体"/>
          <w:b/>
          <w:color w:val="C0504D"/>
          <w:sz w:val="24"/>
        </w:rPr>
        <w:t>标准答案：A。</w:t>
      </w:r>
      <w:r>
        <w:rPr>
          <w:rFonts w:ascii="Times New Roman" w:hAnsi="Times New Roman" w:eastAsia="宋体"/>
          <w:b w:val="0"/>
          <w:sz w:val="24"/>
        </w:rPr>
        <w:t>因为登录页的首要任务是让用户一眼看懂入口分工：是登录门户、去申请资源，还是先查看帮助。如果这三类入口在第一眼就分不清，后面页面再漂亮也会影响使用。B过早关注数据库字段对应，已经跳到了实现层；C要求在登录页一次性展示所有模块，会让入口页信息过载。</w:t>
      </w:r>
    </w:p>
    <w:p>
      <w:pPr>
        <w:pStyle w:val="Heading1"/>
      </w:pPr>
      <w:r>
        <w:t>三、关键页面原型讲解（第7、9、10、11、13、14页）</w:t>
      </w:r>
    </w:p>
    <w:p>
      <w:pPr>
        <w:pStyle w:val="Heading2"/>
      </w:pPr>
      <w:r>
        <w:t>1. 登录 / 门户入口页（第7页）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7页是登录与门户入口页。这个页面想解决的是“第一次进入系统时，用户是否知道这个门户能做什么”。所以页面上先给出统一门户的价值主张，也就是注册登录、资源申请、审批查询、作业监控和账单统计，然后再放登录卡片和高频快捷入口。这样用户的阅读路径会更自然：先理解门户，再执行操作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这一页还特别保留了角色入口提示，但没有在登录前暴露太多技术细节。原因是普通用户最初并不关心系统底层架构，他更关心我能不能快速登录、能不能找到申请入口、遇到问题有没有帮助。</w:t>
      </w:r>
    </w:p>
    <w:p>
      <w:pPr>
        <w:pStyle w:val="Heading2"/>
      </w:pPr>
      <w:r>
        <w:t>2. 用户首页 / 仪表盘（第9页）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9页是用户首页与仪表盘。首页设计成“上方总览、下方任务模块、侧边固定导航”的结构。这样用户一进入系统，就能先看到当前配额、运行作业、待审批数量这些最关键的状态，再往下看作业列表、公告和提醒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我们没有把所有信息都塞进首页，而是只保留用户一打开门户最需要知道的指标。这样做是为了减少认知负担，也方便用户从首页快速跳转到资源申请、作业、账单和帮助中心。</w:t>
      </w:r>
    </w:p>
    <w:p>
      <w:pPr>
        <w:pStyle w:val="Heading2"/>
      </w:pPr>
      <w:r>
        <w:t>3. 资源申请表单页（第10页）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10页是资源申请表单页。这里的重点不是字段越多越好，而是申请过程是否清楚。左侧我们做了步骤导航：申请须知、填写表单、上传材料、提交确认；右侧再按项目基本信息、资源配置、研究说明与附件几个分区来组织内容。这样用户能明确知道自己现在在哪一步，还差哪些材料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同时，这个页面支持保存草稿。因为科研申请材料往往不可能一次性准备齐全，尤其是项目说明、导师证明、伦理审批这类附件，允许草稿保存会更贴合真实场景。</w:t>
      </w:r>
    </w:p>
    <w:p>
      <w:pPr>
        <w:pStyle w:val="Heading2"/>
      </w:pPr>
      <w:r>
        <w:t>4. 审批中心 / 配额开通页（第11页）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第11页是审批中心。审批页的关键并不是视觉多华丽，而是审批人能不能快速做判断。我们采用左侧申请列表、右侧申请详情的布局，让审批人先看待审批队列，再看单条申请的具体资源需求、说明和状态。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页面里还特别强调了“审批通过并开通”这个动作，目的是体现审批和配额开通之间的业务衔接。换句话说，这一页不只是审批页面，也在表达权限和资源开通的后续动作。</w:t>
      </w:r>
    </w:p>
    <w:p>
      <w:pPr>
        <w:pStyle w:val="Heading2"/>
      </w:pPr>
      <w:r>
        <w:t>互动问题2（第12页，对应第10—11页）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这一题可以这样引导：结合资源申请页原型，下面哪一项最值得优先评审？</w:t>
      </w:r>
    </w:p>
    <w:p>
      <w:pPr>
        <w:ind w:left="420"/>
      </w:pPr>
      <w:r>
        <w:rPr>
          <w:rFonts w:ascii="Times New Roman" w:hAnsi="Times New Roman" w:eastAsia="宋体"/>
          <w:b/>
          <w:color w:val="C0504D"/>
          <w:sz w:val="24"/>
        </w:rPr>
        <w:t>标准答案：A。</w:t>
      </w:r>
      <w:r>
        <w:rPr>
          <w:rFonts w:ascii="Times New Roman" w:hAnsi="Times New Roman" w:eastAsia="宋体"/>
          <w:b w:val="0"/>
          <w:sz w:val="24"/>
        </w:rPr>
        <w:t>因为原型阶段最重要的是验证任务能否走通。对于申请页来说，核心问题不是首页统计卡片长什么样，也不是审批页是否共用同一套导航，而是用户是否知道当前在第几步、哪些字段必填、提交以后会发生什么。只有这几点讲清楚，申请流程才算真的可用。</w:t>
      </w:r>
    </w:p>
    <w:p>
      <w:pPr>
        <w:pStyle w:val="Heading2"/>
      </w:pPr>
      <w:r>
        <w:t>5. 作业监控 / 队列状态页（第13页）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13页是作业监控与队列状态页。用户进入这页时，最关心的通常不是大而全的图表，而是三个问题：我的作业有没有在跑、排队要多久、报错时去哪里看日志。所以这一页采用“上方状态概览、下方作业列表、旁边日志预览”的结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这一页也体现了门户和超算资源层之间最直接的连接。也就是说，这不是单纯的展示页面，而是门户系统和底层算力资源联动的一条关键界面。</w:t>
      </w:r>
    </w:p>
    <w:p>
      <w:pPr>
        <w:pStyle w:val="Heading2"/>
      </w:pPr>
      <w:r>
        <w:t>6. 账单统计 / 帮助工单页（第14页）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第14页是账单统计与帮助工单页。我们想强调，超算门户不是只有资源申请和作业监控，还必须覆盖账单、报表、服务支持和知识库，形成完整的运营闭环。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所以这页把账单概览、费用报表、进行中工单和知识库入口放在同一区域，既能支持普通用户查费用，也能支持管理员和运维处理服务问题。这样“运营统计与服务支持”才真正从概念变成可见页面。</w:t>
      </w:r>
    </w:p>
    <w:p>
      <w:pPr>
        <w:pStyle w:val="Heading1"/>
      </w:pPr>
      <w:r>
        <w:t>四、角色差异、页面流与原型规则（第15—21页）</w:t>
      </w:r>
    </w:p>
    <w:p>
      <w:pPr>
        <w:pStyle w:val="Heading2"/>
      </w:pPr>
      <w:r>
        <w:t>1. 不同角色首页不能完全一样（第15—16页）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15到16页讲的是角色差异。普通用户首页更强调“我要做什么”，所以重点入口是资源申请、我的作业、账单报表和帮助中心；PI或者管理员首页更强调“我要处理什么”，因此会把待审批、配额开通、操作记录放得更突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如果只做一个通用首页，看似省事，实际上会把不同角色的信息混在一起，导致普通用户看到太多自己不关心的内容，审批人又找不到自己高频处理的按钮。</w:t>
      </w:r>
    </w:p>
    <w:p>
      <w:pPr>
        <w:pStyle w:val="Heading2"/>
      </w:pPr>
      <w:r>
        <w:t>互动问题3（第17页，对应第15—16页）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提问时可以先让同学比较两套首页原型，再问：为什么不能只做一个通用首页？</w:t>
      </w:r>
    </w:p>
    <w:p>
      <w:pPr>
        <w:ind w:left="420"/>
      </w:pPr>
      <w:r>
        <w:rPr>
          <w:rFonts w:ascii="Times New Roman" w:hAnsi="Times New Roman" w:eastAsia="宋体"/>
          <w:b/>
          <w:color w:val="C0504D"/>
          <w:sz w:val="24"/>
        </w:rPr>
        <w:t>标准答案：A。</w:t>
      </w:r>
      <w:r>
        <w:rPr>
          <w:rFonts w:ascii="Times New Roman" w:hAnsi="Times New Roman" w:eastAsia="宋体"/>
          <w:b w:val="0"/>
          <w:sz w:val="24"/>
        </w:rPr>
        <w:t>因为不同角色的任务中心不同。普通用户更关心申请、作业和账单，PI或管理员更关心待审批、异常提醒和开通处理。B看似省设计工作，但会让首页噪音过多；C只改配色并不能真正完成角色区分，入口优先级和信息层级才是关键。</w:t>
      </w:r>
    </w:p>
    <w:p>
      <w:pPr>
        <w:pStyle w:val="Heading2"/>
      </w:pPr>
      <w:r>
        <w:t>2. 页面流比单页更重要（第18页）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第18页把几张原型串成了一条资源申请主线：登录进入、填写申请、审批处理、查看作业。这里想表达的是，单张页面画得再像样，如果不能串成完整页面流，就还不是一条真正能走通的产品路径。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所以我们在原型阶段，不能只看某一页是否好看，还要看前后页面之间的跳转是否自然、任务是否能闭环。</w:t>
      </w:r>
    </w:p>
    <w:p>
      <w:pPr>
        <w:pStyle w:val="Heading2"/>
      </w:pPr>
      <w:r>
        <w:t>3. 统一组件和交互规则（第19页）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第19页强调的是交互规则。比如待审批、运行中、已驳回这些状态标签，必须在不同页面保持相同颜色和含义；高风险动作比如驳回、删除，需要和普通按钮明显区分；表单字段出错时要就近提示。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原型旁边的标注也很重要。因为课堂展示不能只给老师看截图，还要说清楚点击后会跳到哪里、状态会怎么变化、字段怎么校验。</w:t>
      </w:r>
    </w:p>
    <w:p>
      <w:pPr>
        <w:pStyle w:val="Heading2"/>
      </w:pPr>
      <w:r>
        <w:t>4. 原型阶段最值得提前发现的问题（第20页）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第20页总结了四类最值得提前暴露的问题：导航迷路、表单过长、状态不清和角色错位。原型阶段越早发现这些问题，后面 UML、SRS 甚至开发阶段的返工成本就越低。</w:t>
      </w:r>
    </w:p>
    <w:p>
      <w:pPr>
        <w:pStyle w:val="Heading2"/>
      </w:pPr>
      <w:r>
        <w:t>互动问题4（第21页，对应第20页）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这一题和上一页是直接联动的，可以这样说：如果首页很好看，但用户总找不到资源申请入口，这更像哪一类问题？</w:t>
      </w:r>
    </w:p>
    <w:p>
      <w:pPr>
        <w:ind w:left="420"/>
      </w:pPr>
      <w:r>
        <w:rPr>
          <w:rFonts w:ascii="Times New Roman" w:hAnsi="Times New Roman" w:eastAsia="宋体"/>
          <w:b/>
          <w:color w:val="C0504D"/>
          <w:sz w:val="24"/>
        </w:rPr>
        <w:t>标准答案：A。</w:t>
      </w:r>
      <w:r>
        <w:rPr>
          <w:rFonts w:ascii="Times New Roman" w:hAnsi="Times New Roman" w:eastAsia="宋体"/>
          <w:b w:val="0"/>
          <w:sz w:val="24"/>
        </w:rPr>
        <w:t>这属于导航迷路，也就是入口层级和任务路径没有讲清。B“状态不清”更强调状态标签混淆，比如待审批、排队、失败看不懂；C“角色错位”强调的是权限与角色入口配置错误。题目里最明显的问题是找不到入口，所以应优先判断为导航迷路。</w:t>
      </w:r>
    </w:p>
    <w:p>
      <w:pPr>
        <w:pStyle w:val="Heading2"/>
      </w:pPr>
      <w:r>
        <w:t>5. 原型如何反向支撑 UML、SRS 与开发（第22页）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第22页把原型和后续工作串成一条链：先通过原型看见页面边界和用户任务，再用用例图确认角色与功能边界，用状态图和顺序图确认状态变化与服务交互，最后把页面规则、字段和流程写进 SRS 和开发文档。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也就是说，界面原型并不是和 UML 分开的另一件事，而是同一个项目从文字需求走向模型和实现的中间桥梁。</w:t>
      </w:r>
    </w:p>
    <w:p>
      <w:pPr>
        <w:pStyle w:val="Heading2"/>
      </w:pPr>
      <w:r>
        <w:t>互动问题5（第23页，对应第22页）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这一题是全场的收束题，可以这样发问：按照这套PPT的讲法，界面原型在课程项目里最合理的作用是什么？</w:t>
      </w:r>
    </w:p>
    <w:p>
      <w:pPr>
        <w:ind w:left="420"/>
      </w:pPr>
      <w:r>
        <w:rPr>
          <w:rFonts w:ascii="Times New Roman" w:hAnsi="Times New Roman" w:eastAsia="宋体"/>
          <w:b/>
          <w:color w:val="C0504D"/>
          <w:sz w:val="24"/>
        </w:rPr>
        <w:t>标准答案：A。</w:t>
      </w:r>
      <w:r>
        <w:rPr>
          <w:rFonts w:ascii="Times New Roman" w:hAnsi="Times New Roman" w:eastAsia="宋体"/>
          <w:b w:val="0"/>
          <w:sz w:val="24"/>
        </w:rPr>
        <w:t>最合理的作用是先把入口、流程、状态和角色差异讲清，再去支撑 UML、SRS 和开发讨论。B说等视觉完全定稿后再补原型截图，其实把原型放到了太后面；C把原型当成单纯的页面展示，也忽略了它在建模链路中的作用。这里需要特别注意，PPT如果原先留有其他答案，那更像编辑疏漏；从整套内容逻辑来看，正确答案应当是A。</w:t>
      </w:r>
    </w:p>
    <w:p>
      <w:pPr>
        <w:pStyle w:val="Heading1"/>
      </w:pPr>
      <w:r>
        <w:t>五、分工、评分与结束（第24—27页）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后几页主要起到收束作用。第24页是组内成员分工，我们把总体统稿、资料引用、页面原型设计、流程交互设计和互动答疑分别分给了五位成员。这样做是为了让每一部分都有人负责，也便于答辩时说明小组协作过程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第25页是成员评分页，这一页主要体现过程性评价；第26页是参考文献页，用来说明原型、线框、高保真和交互标注的资料来源；第27页是结束页，想再强调一遍：界面原型不是为了做几张好看的页面，而是为了把项目中的角色、任务、流程和信息层级真正讲清楚。</w:t>
      </w:r>
    </w:p>
    <w:p>
      <w:pPr>
        <w:pStyle w:val="Heading1"/>
      </w:pPr>
      <w:r>
        <w:t>六、结尾总收束（可作最后30秒总结）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最后总结一下：这次“UML基础Ⅱ：界面原型”并不是脱离项目去单独谈设计，而是围绕超算中心运营管理门户网站，把登录入口、资源申请、审批处理、作业监控和账单服务这些关键任务，做成一套能够被评审、被讨论、也能继续支撑 UML 和 SRS 的页面方案。我们希望通过这套原型说明，课程项目里真正重要的不是页面画得像不像，而是页面是否能把任务路径讲通、把角色差异讲清、把后续建模和开发衔接起来。我的汇报到这里结束，谢谢大家。</w:t>
      </w:r>
    </w:p>
    <w:sectPr w:rsidR="00FC693F" w:rsidRPr="0006063C" w:rsidSect="00034616">
      <w:pgSz w:w="12240" w:h="15840"/>
      <w:pgMar w:top="1417" w:right="1361" w:bottom="1417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6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1F2F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37567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yTitle">
    <w:name w:val="MyTitle"/>
    <w:basedOn w:val="Normal"/>
    <w:pPr>
      <w:spacing w:after="240"/>
      <w:jc w:val="center"/>
    </w:pPr>
    <w:rPr>
      <w:rFonts w:ascii="Times New Roman" w:hAnsi="Times New Roman" w:eastAsia="宋体"/>
      <w:b/>
      <w:sz w:val="32"/>
    </w:rPr>
  </w:style>
  <w:style w:type="paragraph" w:customStyle="1" w:styleId="SubTitle">
    <w:name w:val="SubTitle"/>
    <w:basedOn w:val="Normal"/>
    <w:pPr>
      <w:spacing w:after="120"/>
      <w:jc w:val="center"/>
    </w:pPr>
    <w:rPr>
      <w:rFonts w:ascii="Times New Roman" w:hAnsi="Times New Roman" w:eastAsia="宋体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