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等线" w:hAnsi="等线" w:eastAsia="等线"/>
          <w:b/>
          <w:color w:val="000000"/>
          <w:sz w:val="36"/>
        </w:rPr>
        <w:t>超算中心运营管理门户网站</w:t>
      </w:r>
    </w:p>
    <w:p>
      <w:pPr>
        <w:jc w:val="center"/>
      </w:pPr>
      <w:r>
        <w:rPr>
          <w:rFonts w:ascii="等线" w:hAnsi="等线" w:eastAsia="等线"/>
          <w:b/>
          <w:color w:val="000000"/>
          <w:sz w:val="32"/>
        </w:rPr>
        <w:t>项目计划里程碑内部评审记录</w:t>
      </w:r>
    </w:p>
    <w:p>
      <w:pPr>
        <w:jc w:val="center"/>
      </w:pPr>
      <w:r>
        <w:rPr>
          <w:rFonts w:ascii="等线" w:hAnsi="等线" w:eastAsia="等线"/>
          <w:b w:val="0"/>
          <w:color w:val="000000"/>
          <w:sz w:val="21"/>
        </w:rPr>
        <w:t>评审编号：MR-01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9"/>
          </w:tcPr>
          <w:p>
            <w:pPr>
              <w:jc w:val="center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087"/>
            <w:vAlign w:val="center"/>
            <w:shd w:fill="1F4E79"/>
          </w:tcPr>
          <w:p>
            <w:pPr>
              <w:jc w:val="center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评审时间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2026年03月20日 20:00-21:20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评审性质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里程碑内部评审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评审方式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  <w:t>求真1-217宿舍现场会议 + 文档逐项检查</w:t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评审人员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吴易骏、蒋长麟、肖泓宇、陈许恺、王涛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评审材料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项目章程、可行性分析报告、项目计划书、项目计划书汇报PPT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评审依据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课程进度表、对应阶段评审表、小组内部交付标准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评审结论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有条件通过，整改后归档</w:t>
            </w:r>
          </w:p>
        </w:tc>
      </w:tr>
    </w:tbl>
    <w:p>
      <w:pPr>
        <w:pStyle w:val="Heading1"/>
      </w:pPr>
      <w:r>
        <w:rPr>
          <w:rFonts w:ascii="等线" w:hAnsi="等线" w:eastAsia="等线"/>
        </w:rPr>
        <w:t>1 评审检查内容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5386"/>
            <w:vAlign w:val="center"/>
            <w:shd w:fill="1F4E79"/>
          </w:tcPr>
          <w:p>
            <w:pPr>
              <w:jc w:val="center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/>
                <w:color w:val="FFFFFF"/>
                <w:sz w:val="19"/>
              </w:rPr>
              <w:t>检查结论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项目章程是否完整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已包含项目背景、目标、干系人和小组信息。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项目计划是否采用模板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已按课程项目计划要求组织章节。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是否符合当前课程阶段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评审内容集中在项目计划，不提前评审SRS、用户手册或需求变更。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WBS与甘特图是否清晰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已有阶段安排，后续可结合完整甘特图继续补充。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成员分工是否明确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已列出组长和组员职责，需与PPT保持一致。</w:t>
            </w:r>
          </w:p>
        </w:tc>
      </w:tr>
    </w:tbl>
    <w:p>
      <w:pPr>
        <w:pStyle w:val="Heading1"/>
      </w:pPr>
      <w:r>
        <w:rPr>
          <w:rFonts w:ascii="等线" w:hAnsi="等线" w:eastAsia="等线"/>
        </w:rPr>
        <w:t>2 问题与整改记录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969"/>
            <w:vAlign w:val="center"/>
            <w:shd w:fill="1F4E79"/>
          </w:tcPr>
          <w:p>
            <w:pPr>
              <w:jc w:val="center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/>
                <w:color w:val="FFFFFF"/>
                <w:sz w:val="19"/>
              </w:rPr>
              <w:t>问题/整改项</w:t>
            </w:r>
          </w:p>
        </w:tc>
        <w:tc>
          <w:tcPr>
            <w:tcW w:type="dxa" w:w="1417"/>
            <w:vAlign w:val="center"/>
            <w:shd w:fill="1F4E79"/>
          </w:tcPr>
          <w:p>
            <w:pPr>
              <w:jc w:val="center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/>
                <w:color w:val="FFFFFF"/>
                <w:sz w:val="19"/>
              </w:rPr>
              <w:t>负责人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/>
                <w:color w:val="FFFFFF"/>
                <w:sz w:val="19"/>
              </w:rPr>
              <w:t>整改结果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甘特图里程碑表达不够突出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吴易骏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后续补充需求甘特图（含里程碑）文件。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成员分工与PPT口径需要统一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蒋长麟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已同步项目计划书汇报PPT。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风险和配置管理子计划需补充说明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肖泓宇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</w:rPr>
            </w:r>
            <w:r>
              <w:rPr>
                <w:rFonts w:ascii="等线" w:hAnsi="等线" w:eastAsia="等线"/>
                <w:b w:val="0"/>
                <w:color w:val="000000"/>
                <w:sz w:val="18"/>
              </w:rPr>
              <w:t>已补充风险、沟通、配置管理段落。</w:t>
            </w:r>
          </w:p>
        </w:tc>
      </w:tr>
    </w:tbl>
    <w:p>
      <w:pPr>
        <w:pStyle w:val="Heading1"/>
      </w:pPr>
      <w:r>
        <w:rPr>
          <w:rFonts w:ascii="等线" w:hAnsi="等线" w:eastAsia="等线"/>
        </w:rPr>
        <w:t>3 复查结论</w:t>
      </w:r>
    </w:p>
    <w:p>
      <w:pPr>
        <w:ind w:left="340" w:hanging="142"/>
      </w:pPr>
      <w:r>
        <w:rPr>
          <w:rFonts w:ascii="等线" w:hAnsi="等线" w:eastAsia="等线"/>
          <w:b w:val="0"/>
          <w:color w:val="000000"/>
          <w:sz w:val="21"/>
        </w:rPr>
        <w:t xml:space="preserve">• </w:t>
      </w:r>
      <w:r>
        <w:rPr>
          <w:rFonts w:ascii="等线" w:hAnsi="等线" w:eastAsia="等线"/>
          <w:b w:val="0"/>
          <w:color w:val="000000"/>
          <w:sz w:val="21"/>
        </w:rPr>
        <w:t>整改项已在对应阶段文档或汇报材料中体现。</w:t>
      </w:r>
    </w:p>
    <w:p>
      <w:pPr>
        <w:ind w:left="340" w:hanging="142"/>
      </w:pPr>
      <w:r>
        <w:rPr>
          <w:rFonts w:ascii="等线" w:hAnsi="等线" w:eastAsia="等线"/>
          <w:b w:val="0"/>
          <w:color w:val="000000"/>
          <w:sz w:val="21"/>
        </w:rPr>
        <w:t xml:space="preserve">• </w:t>
      </w:r>
      <w:r>
        <w:rPr>
          <w:rFonts w:ascii="等线" w:hAnsi="等线" w:eastAsia="等线"/>
          <w:b w:val="0"/>
          <w:color w:val="000000"/>
          <w:sz w:val="21"/>
        </w:rPr>
        <w:t>本里程碑材料可作为正式提交与最终收尾评审证据。</w:t>
      </w:r>
    </w:p>
    <w:p>
      <w:pPr>
        <w:ind w:left="340" w:hanging="142"/>
      </w:pPr>
      <w:r>
        <w:rPr>
          <w:rFonts w:ascii="等线" w:hAnsi="等线" w:eastAsia="等线"/>
          <w:b w:val="0"/>
          <w:color w:val="000000"/>
          <w:sz w:val="21"/>
        </w:rPr>
        <w:t xml:space="preserve">• </w:t>
      </w:r>
      <w:r>
        <w:rPr>
          <w:rFonts w:ascii="等线" w:hAnsi="等线" w:eastAsia="等线"/>
          <w:b w:val="0"/>
          <w:color w:val="000000"/>
          <w:sz w:val="21"/>
        </w:rPr>
        <w:t>后续若发现口径不一致，以最新基线文档和评审记录为准。</w:t>
      </w:r>
    </w:p>
    <w:sectPr w:rsidR="00FC693F" w:rsidRPr="0006063C" w:rsidSect="00034616"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等线" w:hAnsi="等线" w:eastAsia="等线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等线" w:hAnsi="等线" w:eastAsia="等线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等线" w:hAnsi="等线" w:eastAsia="等线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等线" w:hAnsi="等线" w:eastAsia="等线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等线" w:hAnsi="等线" w:eastAsia="等线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等线" w:hAnsi="等线" w:eastAsia="等线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等线" w:hAnsi="等线" w:eastAsia="等线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等线" w:hAnsi="等线" w:eastAsia="等线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等线" w:hAnsi="等线" w:eastAsia="等线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等线" w:hAnsi="等线" w:eastAsia="等线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等线" w:hAnsi="等线" w:eastAsia="等线"/>
    </w:rPr>
  </w:style>
  <w:style w:type="table" w:default="1" w:styleId="TableNormal">
    <w:name w:val="Normal Table"/>
    <w:uiPriority w:val="99"/>
    <w:semiHidden/>
    <w:unhideWhenUsed/>
    <w:rPr>
      <w:rFonts w:ascii="等线" w:hAnsi="等线" w:eastAsia="等线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等线" w:hAnsi="等线" w:eastAsia="等线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等线" w:hAnsi="等线" w:eastAsia="等线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等线" w:hAnsi="等线" w:eastAsia="等线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等线" w:hAnsi="等线" w:eastAsia="等线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等线" w:hAnsi="等线" w:eastAsia="等线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等线" w:hAnsi="等线" w:eastAsia="等线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等线" w:hAnsi="等线" w:eastAsia="等线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等线" w:hAnsi="等线" w:eastAsia="等线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等线" w:hAnsi="等线" w:eastAsia="等线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等线" w:hAnsi="等线" w:eastAsia="等线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等线" w:hAnsi="等线" w:eastAsia="等线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等线" w:hAnsi="等线" w:eastAsia="等线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等线" w:hAnsi="等线" w:eastAsia="等线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等线" w:hAnsi="等线" w:eastAsia="等线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等线" w:hAnsi="等线" w:eastAsia="等线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等线" w:hAnsi="等线" w:eastAsia="等线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等线" w:hAnsi="等线" w:eastAsia="等线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等线" w:hAnsi="等线" w:eastAsia="等线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等线" w:hAnsi="等线" w:eastAsia="等线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等线" w:hAnsi="等线" w:eastAsia="等线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等线" w:hAnsi="等线" w:eastAsia="等线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等线" w:hAnsi="等线" w:eastAsia="等线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等线" w:hAnsi="等线" w:eastAsia="等线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等线" w:hAnsi="等线" w:eastAsia="等线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等线" w:hAnsi="等线" w:eastAsia="等线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等线" w:hAnsi="等线" w:eastAsia="等线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等线" w:hAnsi="等线" w:eastAsia="等线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等线" w:hAnsi="等线" w:eastAsia="等线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等线" w:hAnsi="等线" w:eastAsia="等线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等线" w:hAnsi="等线" w:eastAsia="等线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等线" w:hAnsi="等线" w:eastAsia="等线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等线" w:hAnsi="等线" w:eastAsia="等线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等线" w:hAnsi="等线" w:eastAsia="等线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等线" w:hAnsi="等线" w:eastAsia="等线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等线" w:hAnsi="等线" w:eastAsia="等线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等线" w:hAnsi="等线" w:eastAsia="等线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等线" w:hAnsi="等线" w:eastAsia="等线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等线" w:hAnsi="等线" w:eastAsia="等线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等线" w:hAnsi="等线" w:eastAsia="等线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等线" w:hAnsi="等线" w:eastAsia="等线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等线" w:hAnsi="等线" w:eastAsia="等线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等线" w:hAnsi="等线" w:eastAsia="等线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等线" w:hAnsi="等线" w:eastAsia="等线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等线" w:hAnsi="等线" w:eastAsia="等线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等线" w:hAnsi="等线" w:eastAsia="等线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等线" w:hAnsi="等线" w:eastAsia="等线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等线" w:hAnsi="等线" w:eastAsia="等线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等线" w:hAnsi="等线" w:eastAsia="等线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等线" w:hAnsi="等线" w:eastAsia="等线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等线" w:hAnsi="等线" w:eastAsia="等线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等线" w:hAnsi="等线" w:eastAsia="等线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等线" w:hAnsi="等线" w:eastAsia="等线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等线" w:hAnsi="等线" w:eastAsia="等线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等线" w:hAnsi="等线" w:eastAsia="等线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等线" w:hAnsi="等线" w:eastAsia="等线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等线" w:hAnsi="等线" w:eastAsia="等线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等线" w:hAnsi="等线" w:eastAsia="等线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等线" w:hAnsi="等线" w:eastAsia="等线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等线" w:hAnsi="等线" w:eastAsia="等线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等线" w:hAnsi="等线" w:eastAsia="等线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等线" w:hAnsi="等线" w:eastAsia="等线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等线" w:hAnsi="等线" w:eastAsia="等线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