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before="0" w:line="276"/>
        <w:jc w:val="center"/>
      </w:pPr>
      <w:r>
        <w:rPr>
          <w:rFonts w:ascii="Arial" w:cs="Arial" w:eastAsia="Arial" w:hAnsi="Arial"/>
          <w:b/>
          <w:bCs/>
          <w:i w:val="false"/>
          <w:iCs w:val="false"/>
          <w:sz w:val="52"/>
          <w:szCs w:val="52"/>
        </w:rPr>
        <w:t xml:space="preserve">Aiglos: Complete Reference</w:t>
      </w:r>
    </w:p>
    <w:p>
      <w:pPr>
        <w:spacing w:after="60" w:before="0" w:line="276"/>
        <w:jc w:val="center"/>
      </w:pPr>
      <w:r>
        <w:rPr>
          <w:rFonts w:ascii="Arial" w:cs="Arial" w:eastAsia="Arial" w:hAnsi="Arial"/>
          <w:b w:val="false"/>
          <w:bCs w:val="false"/>
          <w:i w:val="false"/>
          <w:iCs w:val="false"/>
          <w:color w:val="555555"/>
          <w:sz w:val="28"/>
          <w:szCs w:val="28"/>
        </w:rPr>
        <w:t xml:space="preserve">The AI Agent Security Platform</w:t>
      </w:r>
    </w:p>
    <w:p>
      <w:pPr>
        <w:spacing w:after="240" w:before="0" w:line="276"/>
        <w:jc w:val="center"/>
      </w:pPr>
      <w:r>
        <w:rPr>
          <w:rFonts w:ascii="Arial" w:cs="Arial" w:eastAsia="Arial" w:hAnsi="Arial"/>
          <w:b w:val="false"/>
          <w:bCs w:val="false"/>
          <w:i w:val="false"/>
          <w:iCs w:val="false"/>
          <w:color w:val="777777"/>
          <w:sz w:val="24"/>
          <w:szCs w:val="24"/>
        </w:rPr>
        <w:t xml:space="preserve">v0.25.11</w:t>
      </w:r>
    </w:p>
    <w:p>
      <w:pPr>
        <w:spacing w:after="240" w:before="0" w:line="276"/>
        <w:jc w:val="center"/>
      </w:pPr>
      <w:r>
        <w:rPr>
          <w:rFonts w:ascii="Arial" w:cs="Arial" w:eastAsia="Arial" w:hAnsi="Arial"/>
          <w:b w:val="false"/>
          <w:bCs w:val="false"/>
          <w:i w:val="false"/>
          <w:iCs w:val="false"/>
          <w:color w:val="444444"/>
          <w:sz w:val="20"/>
          <w:szCs w:val="20"/>
        </w:rPr>
        <w:t xml:space="preserve">82 Threat Families  |  23 Campaign Patterns  |  18 Inspection Triggers  |  17 Known Agents  |  1,801 Tests</w:t>
      </w:r>
    </w:p>
    <w:p>
      <w:pPr>
        <w:spacing w:after="120"/>
      </w:pPr>
    </w:p>
    <w:p>
      <w:pPr>
        <w:spacing w:after="60" w:before="0" w:line="276"/>
        <w:jc w:val="center"/>
      </w:pPr>
      <w:r>
        <w:rPr>
          <w:rFonts w:ascii="Arial" w:cs="Arial" w:eastAsia="Arial" w:hAnsi="Arial"/>
          <w:i/>
          <w:iCs/>
          <w:sz w:val="22"/>
          <w:szCs w:val="22"/>
        </w:rPr>
        <w:t xml:space="preserve">"OpenClaw is the operating system for personal AI." </w:t>
      </w:r>
      <w:r>
        <w:rPr>
          <w:rFonts w:ascii="Arial" w:cs="Arial" w:eastAsia="Arial" w:hAnsi="Arial"/>
          <w:color w:val="666666"/>
          <w:sz w:val="20"/>
          <w:szCs w:val="20"/>
        </w:rPr>
        <w:t xml:space="preserve">Jensen Huang, GTC 2026</w:t>
      </w:r>
    </w:p>
    <w:p>
      <w:pPr>
        <w:spacing w:after="120"/>
      </w:pPr>
    </w:p>
    <w:p>
      <w:pPr>
        <w:spacing w:after="40" w:before="0" w:line="276"/>
        <w:jc w:val="center"/>
      </w:pPr>
      <w:r>
        <w:rPr>
          <w:rFonts w:ascii="Arial" w:cs="Arial" w:eastAsia="Arial" w:hAnsi="Arial"/>
          <w:b w:val="false"/>
          <w:bCs w:val="false"/>
          <w:i w:val="false"/>
          <w:iCs w:val="false"/>
          <w:color w:val="333333"/>
          <w:sz w:val="22"/>
          <w:szCs w:val="22"/>
        </w:rPr>
        <w:t xml:space="preserve">On March 24, 2026, LiteLLM's PyPI package was compromised. 3.4 million daily downloads.</w:t>
      </w:r>
    </w:p>
    <w:p>
      <w:pPr>
        <w:spacing w:after="40" w:before="0" w:line="276"/>
        <w:jc w:val="center"/>
      </w:pPr>
      <w:r>
        <w:rPr>
          <w:rFonts w:ascii="Arial" w:cs="Arial" w:eastAsia="Arial" w:hAnsi="Arial"/>
          <w:b w:val="false"/>
          <w:bCs w:val="false"/>
          <w:i w:val="false"/>
          <w:iCs w:val="false"/>
          <w:color w:val="333333"/>
          <w:sz w:val="22"/>
          <w:szCs w:val="22"/>
        </w:rPr>
        <w:t xml:space="preserve">Credentials harvested on every Python process launch. Aiglos rule T81 fires on the exact</w:t>
      </w:r>
    </w:p>
    <w:p>
      <w:pPr>
        <w:spacing w:after="240" w:before="0" w:line="276"/>
        <w:jc w:val="center"/>
      </w:pPr>
      <w:r>
        <w:rPr>
          <w:rFonts w:ascii="Arial" w:cs="Arial" w:eastAsia="Arial" w:hAnsi="Arial"/>
          <w:b w:val="false"/>
          <w:bCs w:val="false"/>
          <w:i w:val="false"/>
          <w:iCs w:val="false"/>
          <w:color w:val="333333"/>
          <w:sz w:val="22"/>
          <w:szCs w:val="22"/>
        </w:rPr>
        <w:t xml:space="preserve">mechanism the attackers used. The rule existed before the breach. That is the product.</w:t>
      </w:r>
    </w:p>
    <w:p>
      <w:pPr>
        <w:spacing w:after="240"/>
      </w:pPr>
    </w:p>
    <w:p>
      <w:pPr>
        <w:spacing w:after="120" w:before="0" w:line="276"/>
        <w:jc w:val="center"/>
      </w:pPr>
      <w:r>
        <w:rPr>
          <w:rFonts w:ascii="Arial" w:cs="Arial" w:eastAsia="Arial" w:hAnsi="Arial"/>
          <w:b/>
          <w:bCs/>
          <w:sz w:val="22"/>
          <w:szCs w:val="22"/>
        </w:rPr>
        <w:t xml:space="preserve">Will Rose</w:t>
      </w:r>
      <w:r>
        <w:rPr>
          <w:rFonts w:ascii="Arial" w:cs="Arial" w:eastAsia="Arial" w:hAnsi="Arial"/>
          <w:color w:val="666666"/>
          <w:sz w:val="20"/>
          <w:szCs w:val="20"/>
        </w:rPr>
        <w:t xml:space="preserve">  |  Founder, Aiglos  |  aiglos.dev</w:t>
      </w:r>
    </w:p>
    <w:p>
      <w:pPr>
        <w:spacing w:after="120" w:before="0" w:line="276"/>
        <w:jc w:val="center"/>
      </w:pPr>
      <w:r>
        <w:rPr>
          <w:rFonts w:ascii="Arial" w:cs="Arial" w:eastAsia="Arial" w:hAnsi="Arial"/>
          <w:b w:val="false"/>
          <w:bCs w:val="false"/>
          <w:i w:val="false"/>
          <w:iCs w:val="false"/>
          <w:color w:val="888888"/>
          <w:sz w:val="20"/>
          <w:szCs w:val="20"/>
        </w:rPr>
        <w:t xml:space="preserve">March 31, 2026</w:t>
      </w:r>
    </w:p>
    <w:p>
      <w:r>
        <w:br w:type="page"/>
      </w:r>
    </w:p>
    <w:p>
      <w:pPr>
        <w:pStyle w:val="Heading1"/>
        <w:spacing w:after="120" w:before="360"/>
      </w:pPr>
      <w:r>
        <w:rPr>
          <w:rFonts w:ascii="Arial" w:cs="Arial" w:eastAsia="Arial" w:hAnsi="Arial"/>
          <w:b/>
          <w:bCs/>
          <w:color w:val="1a1a1a"/>
          <w:sz w:val="32"/>
          <w:szCs w:val="32"/>
        </w:rPr>
        <w:t xml:space="preserve">What Aiglos Is</w:t>
      </w:r>
    </w:p>
    <w:p>
      <w:pPr>
        <w:spacing w:after="120" w:before="0" w:line="276"/>
      </w:pPr>
      <w:r>
        <w:rPr>
          <w:rFonts w:ascii="Arial" w:cs="Arial" w:eastAsia="Arial" w:hAnsi="Arial"/>
          <w:b w:val="false"/>
          <w:bCs w:val="false"/>
          <w:i w:val="false"/>
          <w:iCs w:val="false"/>
          <w:sz w:val="22"/>
          <w:szCs w:val="22"/>
        </w:rPr>
        <w:t xml:space="preserve">Runtime security enforcement for every AI agent. One import intercepts every tool call before execution, classifies it against 82 threat families, and produces a signed audit artifact.</w:t>
      </w:r>
    </w:p>
    <w:p>
      <w:pPr>
        <w:spacing w:after="60"/>
      </w:pPr>
    </w:p>
    <w:p>
      <w:pPr>
        <w:spacing w:after="120" w:before="0" w:line="276"/>
      </w:pPr>
      <w:r>
        <w:rPr>
          <w:rFonts w:ascii="Arial" w:cs="Arial" w:eastAsia="Arial" w:hAnsi="Arial"/>
          <w:b w:val="false"/>
          <w:bCs w:val="false"/>
          <w:i w:val="false"/>
          <w:iCs w:val="false"/>
          <w:sz w:val="22"/>
          <w:szCs w:val="22"/>
        </w:rPr>
        <w:t xml:space="preserve">The problem no one stated directly: the dominant AI agent platform has a security policy that says, verbatim, that prompt injection attacks are out of scope. OWASP published the Top 10 for Agentic Applications in December 2025. Number one: Agent Goal Hijack. Prompt injection by another name. The most documented class of AI agent attacks is officially not the platform's problem. It is the ecosystem's.</w:t>
      </w:r>
    </w:p>
    <w:p>
      <w:pPr>
        <w:spacing w:after="60"/>
      </w:pPr>
    </w:p>
    <w:p>
      <w:pPr>
        <w:spacing w:after="120" w:before="0" w:line="276"/>
      </w:pPr>
      <w:r>
        <w:rPr>
          <w:rFonts w:ascii="Arial" w:cs="Arial" w:eastAsia="Arial" w:hAnsi="Arial"/>
          <w:b/>
          <w:bCs/>
          <w:i w:val="false"/>
          <w:iCs w:val="false"/>
          <w:sz w:val="22"/>
          <w:szCs w:val="22"/>
        </w:rPr>
        <w:t xml:space="preserve">Aiglos is the ecosystem's answer.</w:t>
      </w:r>
    </w:p>
    <w:p>
      <w:pPr>
        <w:spacing w:after="60"/>
      </w:pPr>
    </w:p>
    <w:p>
      <w:pPr>
        <w:spacing w:after="120" w:before="0" w:line="276"/>
      </w:pPr>
      <w:r>
        <w:rPr>
          <w:rFonts w:ascii="Arial" w:cs="Arial" w:eastAsia="Arial" w:hAnsi="Arial"/>
          <w:b/>
          <w:bCs/>
          <w:i w:val="false"/>
          <w:iCs w:val="false"/>
          <w:sz w:val="22"/>
          <w:szCs w:val="22"/>
        </w:rPr>
        <w:t xml:space="preserve">Three things nobody else can say:</w:t>
      </w:r>
    </w:p>
    <w:p>
      <w:pPr>
        <w:spacing w:after="40"/>
      </w:pPr>
    </w:p>
    <w:p>
      <w:pPr>
        <w:spacing w:after="120" w:before="0" w:line="276"/>
        <w:ind w:left="360"/>
      </w:pPr>
      <w:r>
        <w:rPr>
          <w:rFonts w:ascii="Arial" w:cs="Arial" w:eastAsia="Arial" w:hAnsi="Arial"/>
          <w:b w:val="false"/>
          <w:bCs w:val="false"/>
          <w:i w:val="false"/>
          <w:iCs w:val="false"/>
          <w:sz w:val="22"/>
          <w:szCs w:val="22"/>
        </w:rPr>
        <w:t xml:space="preserve">1.  3/3 published OpenClaw GHSAs caught by existing rules before the advisories were disclosed. The rules came first. Every time.</w:t>
      </w:r>
    </w:p>
    <w:p>
      <w:pPr>
        <w:spacing w:after="120" w:before="0" w:line="276"/>
        <w:ind w:left="360"/>
      </w:pPr>
      <w:r>
        <w:rPr>
          <w:rFonts w:ascii="Arial" w:cs="Arial" w:eastAsia="Arial" w:hAnsi="Arial"/>
          <w:b w:val="false"/>
          <w:bCs w:val="false"/>
          <w:i w:val="false"/>
          <w:iCs w:val="false"/>
          <w:sz w:val="22"/>
          <w:szCs w:val="22"/>
        </w:rPr>
        <w:t xml:space="preserve">2.  93% coverage of OpenClaw's own published MITRE ATLAS threat model. The company that covers the platform's own threat model better than any other tool is the default choice.</w:t>
      </w:r>
    </w:p>
    <w:p>
      <w:pPr>
        <w:spacing w:after="120" w:before="0" w:line="276"/>
        <w:ind w:left="360"/>
      </w:pPr>
      <w:r>
        <w:rPr>
          <w:rFonts w:ascii="Arial" w:cs="Arial" w:eastAsia="Arial" w:hAnsi="Arial"/>
          <w:b w:val="false"/>
          <w:bCs w:val="false"/>
          <w:i w:val="false"/>
          <w:iCs w:val="false"/>
          <w:sz w:val="22"/>
          <w:szCs w:val="22"/>
        </w:rPr>
        <w:t xml:space="preserve">3.  GOVBENCH is the first governance benchmark for AI agents. Published before any standard body required one. The company that defines the benchmark owns the compliance category for a decade.</w:t>
      </w:r>
    </w:p>
    <w:p>
      <w:pPr>
        <w:spacing w:after="120" w:before="0" w:line="276"/>
        <w:ind w:left="360"/>
      </w:pPr>
      <w:r>
        <w:rPr>
          <w:rFonts w:ascii="Arial" w:cs="Arial" w:eastAsia="Arial" w:hAnsi="Arial"/>
          <w:b w:val="false"/>
          <w:bCs w:val="false"/>
          <w:i w:val="false"/>
          <w:iCs w:val="false"/>
          <w:sz w:val="22"/>
          <w:szCs w:val="22"/>
        </w:rPr>
        <w:t xml:space="preserve">4.  T81 PTH_FILE_INJECT caught the LiteLLM supply chain attack mechanism before the breach was disclosed on March 24, 2026. The rule existed. The attack proved it.</w:t>
      </w:r>
    </w:p>
    <w:p>
      <w:r>
        <w:br w:type="page"/>
      </w:r>
    </w:p>
    <w:p>
      <w:pPr>
        <w:pStyle w:val="Heading1"/>
        <w:spacing w:after="120" w:before="360"/>
      </w:pPr>
      <w:r>
        <w:rPr>
          <w:rFonts w:ascii="Arial" w:cs="Arial" w:eastAsia="Arial" w:hAnsi="Arial"/>
          <w:b/>
          <w:bCs/>
          <w:color w:val="1a1a1a"/>
          <w:sz w:val="32"/>
          <w:szCs w:val="32"/>
        </w:rPr>
        <w:t xml:space="preserve">Architecture</w:t>
      </w:r>
    </w:p>
    <w:p>
      <w:pPr>
        <w:pStyle w:val="Heading2"/>
        <w:spacing w:after="120" w:before="240"/>
      </w:pPr>
      <w:r>
        <w:rPr>
          <w:rFonts w:ascii="Arial" w:cs="Arial" w:eastAsia="Arial" w:hAnsi="Arial"/>
          <w:b/>
          <w:bCs/>
          <w:color w:val="1a1a1a"/>
          <w:sz w:val="26"/>
          <w:szCs w:val="26"/>
        </w:rPr>
        <w:t xml:space="preserve">Two Front Doors, Same Product</w:t>
      </w:r>
    </w:p>
    <w:p>
      <w:pPr>
        <w:spacing w:after="120" w:before="0" w:line="276"/>
      </w:pPr>
      <w:r>
        <w:rPr>
          <w:rFonts w:ascii="Arial" w:cs="Arial" w:eastAsia="Arial" w:hAnsi="Arial"/>
          <w:b w:val="false"/>
          <w:bCs w:val="false"/>
          <w:i w:val="false"/>
          <w:iCs w:val="false"/>
          <w:sz w:val="22"/>
          <w:szCs w:val="22"/>
        </w:rPr>
        <w:t xml:space="preserve">Security-first (GTM 1): Security engineers, DoD contractors, enterprise. Install because the security problem is real and the deadline is June 2026.</w:t>
      </w:r>
    </w:p>
    <w:p>
      <w:pPr>
        <w:spacing w:after="120" w:before="0" w:line="276"/>
      </w:pPr>
      <w:r>
        <w:rPr>
          <w:rFonts w:ascii="Arial" w:cs="Arial" w:eastAsia="Arial" w:hAnsi="Arial"/>
          <w:b w:val="false"/>
          <w:bCs w:val="false"/>
          <w:i w:val="false"/>
          <w:iCs w:val="false"/>
          <w:sz w:val="22"/>
          <w:szCs w:val="22"/>
        </w:rPr>
        <w:t xml:space="preserve">Onboarding-first (GTM 2): Every new OpenClaw user. Install because aiglos launch makes a working agent in 5 minutes. Security comes silently.</w:t>
      </w:r>
    </w:p>
    <w:p>
      <w:pPr>
        <w:spacing w:after="120" w:before="0" w:line="276"/>
      </w:pPr>
      <w:r>
        <w:rPr>
          <w:rFonts w:ascii="Arial" w:cs="Arial" w:eastAsia="Arial" w:hAnsi="Arial"/>
          <w:b w:val="false"/>
          <w:bCs w:val="false"/>
          <w:i w:val="false"/>
          <w:iCs w:val="false"/>
          <w:sz w:val="22"/>
          <w:szCs w:val="22"/>
        </w:rPr>
        <w:t xml:space="preserve">Both paths end with a signed session artifact and behavioral detection running on every tool call.</w:t>
      </w:r>
    </w:p>
    <w:p>
      <w:pPr>
        <w:spacing w:after="60"/>
      </w:pPr>
    </w:p>
    <w:p>
      <w:pPr>
        <w:pStyle w:val="Heading2"/>
        <w:spacing w:after="120" w:before="240"/>
      </w:pPr>
      <w:r>
        <w:rPr>
          <w:rFonts w:ascii="Arial" w:cs="Arial" w:eastAsia="Arial" w:hAnsi="Arial"/>
          <w:b/>
          <w:bCs/>
          <w:color w:val="1a1a1a"/>
          <w:sz w:val="26"/>
          <w:szCs w:val="26"/>
        </w:rPr>
        <w:t xml:space="preserve">Enforcement Position</w:t>
      </w:r>
    </w:p>
    <w:p>
      <w:pPr>
        <w:spacing w:after="120" w:before="0" w:line="276"/>
      </w:pPr>
      <w:r>
        <w:rPr>
          <w:rFonts w:ascii="Arial" w:cs="Arial" w:eastAsia="Arial" w:hAnsi="Arial"/>
          <w:b w:val="false"/>
          <w:bCs w:val="false"/>
          <w:i w:val="false"/>
          <w:iCs w:val="false"/>
          <w:sz w:val="22"/>
          <w:szCs w:val="22"/>
        </w:rPr>
        <w:t xml:space="preserve">Aiglos enforces outside the agent process, the same architectural position as NVIDIA OpenShell. The agent cannot reason around a rule it does not know exists.</w:t>
      </w:r>
    </w:p>
    <w:p>
      <w:pPr>
        <w:spacing w:after="60"/>
      </w:pPr>
    </w:p>
    <w:p>
      <w:pPr>
        <w:spacing w:after="120" w:before="0" w:line="276"/>
      </w:pPr>
      <w:r>
        <w:rPr>
          <w:rFonts w:ascii="Arial" w:cs="Arial" w:eastAsia="Arial" w:hAnsi="Arial"/>
          <w:b w:val="false"/>
          <w:bCs w:val="false"/>
          <w:i w:val="false"/>
          <w:iCs w:val="false"/>
          <w:sz w:val="22"/>
          <w:szCs w:val="22"/>
        </w:rPr>
        <w:t xml:space="preserve">Guardrails inside the agent can be reasoned around or rewritten. OpenClaw's config files were rewritten by an agent in under a minute in February 2026 testing. Claude Code's internal tool definitions silently overrode operator guardrails earlier this year.</w:t>
      </w:r>
    </w:p>
    <w:p>
      <w:pPr>
        <w:spacing w:after="120" w:before="0" w:line="276"/>
      </w:pPr>
      <w:r>
        <w:rPr>
          <w:rFonts w:ascii="Arial" w:cs="Arial" w:eastAsia="Arial" w:hAnsi="Arial"/>
          <w:b w:val="false"/>
          <w:bCs w:val="false"/>
          <w:i w:val="false"/>
          <w:iCs w:val="false"/>
          <w:sz w:val="22"/>
          <w:szCs w:val="22"/>
        </w:rPr>
        <w:t xml:space="preserve">Guardrails outside the agent cannot be reasoned around. OpenShell and Aiglos both operate at this layer. OpenShell answers "what is this agent allowed to do" at the kernel/network level. Aiglos answers "what is this agent actually doing" at the behavioral sequence level. Two orthogonal guarantees. Neither can be bypassed.</w:t>
      </w:r>
    </w:p>
    <w:p>
      <w:pPr>
        <w:spacing w:after="60"/>
      </w:pPr>
    </w:p>
    <w:p>
      <w:pPr>
        <w:pStyle w:val="Heading2"/>
        <w:spacing w:after="120" w:before="240"/>
      </w:pPr>
      <w:r>
        <w:rPr>
          <w:rFonts w:ascii="Arial" w:cs="Arial" w:eastAsia="Arial" w:hAnsi="Arial"/>
          <w:b/>
          <w:bCs/>
          <w:color w:val="1a1a1a"/>
          <w:sz w:val="26"/>
          <w:szCs w:val="26"/>
        </w:rPr>
        <w:t xml:space="preserve">Interception Surfaces</w:t>
      </w:r>
    </w:p>
    <w:p>
      <w:pPr>
        <w:spacing w:after="120" w:before="0" w:line="276"/>
      </w:pPr>
      <w:r>
        <w:rPr>
          <w:rFonts w:ascii="Arial" w:cs="Arial" w:eastAsia="Arial" w:hAnsi="Arial"/>
          <w:b w:val="false"/>
          <w:bCs w:val="false"/>
          <w:i w:val="false"/>
          <w:iCs w:val="false"/>
          <w:sz w:val="22"/>
          <w:szCs w:val="22"/>
        </w:rPr>
        <w:t xml:space="preserve">Three surfaces operating simultaneously:</w:t>
      </w:r>
    </w:p>
    <w:p>
      <w:pPr>
        <w:spacing w:after="40"/>
      </w:pPr>
    </w:p>
    <w:p>
      <w:pPr>
        <w:spacing w:after="60" w:before="60"/>
        <w:ind w:left="360"/>
      </w:pPr>
      <w:r>
        <w:rPr>
          <w:rFonts w:ascii="Courier New" w:cs="Courier New" w:eastAsia="Courier New" w:hAnsi="Courier New"/>
          <w:color w:val="333333"/>
          <w:sz w:val="18"/>
          <w:szCs w:val="18"/>
        </w:rPr>
        <w:t xml:space="preserve">aiglos.attach(</w:t>
      </w:r>
    </w:p>
    <w:p>
      <w:pPr>
        <w:spacing w:after="60" w:before="60"/>
        <w:ind w:left="360"/>
      </w:pPr>
      <w:r>
        <w:rPr>
          <w:rFonts w:ascii="Courier New" w:cs="Courier New" w:eastAsia="Courier New" w:hAnsi="Courier New"/>
          <w:color w:val="333333"/>
          <w:sz w:val="18"/>
          <w:szCs w:val="18"/>
        </w:rPr>
        <w:t xml:space="preserve">    agent_name = "my-agent",</w:t>
      </w:r>
    </w:p>
    <w:p>
      <w:pPr>
        <w:spacing w:after="60" w:before="60"/>
        <w:ind w:left="360"/>
      </w:pPr>
      <w:r>
        <w:rPr>
          <w:rFonts w:ascii="Courier New" w:cs="Courier New" w:eastAsia="Courier New" w:hAnsi="Courier New"/>
          <w:color w:val="333333"/>
          <w:sz w:val="18"/>
          <w:szCs w:val="18"/>
        </w:rPr>
        <w:t xml:space="preserve">    policy = "enterprise",</w:t>
      </w:r>
    </w:p>
    <w:p>
      <w:pPr>
        <w:spacing w:after="60" w:before="60"/>
        <w:ind w:left="360"/>
      </w:pPr>
      <w:r>
        <w:rPr>
          <w:rFonts w:ascii="Courier New" w:cs="Courier New" w:eastAsia="Courier New" w:hAnsi="Courier New"/>
          <w:color w:val="333333"/>
          <w:sz w:val="18"/>
          <w:szCs w:val="18"/>
        </w:rPr>
        <w:t xml:space="preserve">    intercept_http = True,          # requests, httpx, urllib</w:t>
      </w:r>
    </w:p>
    <w:p>
      <w:pPr>
        <w:spacing w:after="60" w:before="60"/>
        <w:ind w:left="360"/>
      </w:pPr>
      <w:r>
        <w:rPr>
          <w:rFonts w:ascii="Courier New" w:cs="Courier New" w:eastAsia="Courier New" w:hAnsi="Courier New"/>
          <w:color w:val="333333"/>
          <w:sz w:val="18"/>
          <w:szCs w:val="18"/>
        </w:rPr>
        <w:t xml:space="preserve">    intercept_subprocess = True,     # subprocess.run, os.system, Popen</w:t>
      </w:r>
    </w:p>
    <w:p>
      <w:pPr>
        <w:spacing w:after="60" w:before="60"/>
        <w:ind w:left="360"/>
      </w:pPr>
      <w:r>
        <w:rPr>
          <w:rFonts w:ascii="Courier New" w:cs="Courier New" w:eastAsia="Courier New" w:hAnsi="Courier New"/>
          <w:color w:val="333333"/>
          <w:sz w:val="18"/>
          <w:szCs w:val="18"/>
        </w:rPr>
        <w:t xml:space="preserve">    subprocess_tier3_mode = "pause", # human confirmation on destructive ops</w:t>
      </w:r>
    </w:p>
    <w:p>
      <w:pPr>
        <w:spacing w:after="60" w:before="60"/>
        <w:ind w:left="360"/>
      </w:pPr>
      <w:r>
        <w:rPr>
          <w:rFonts w:ascii="Courier New" w:cs="Courier New" w:eastAsia="Courier New" w:hAnsi="Courier New"/>
          <w:color w:val="333333"/>
          <w:sz w:val="18"/>
          <w:szCs w:val="18"/>
        </w:rPr>
        <w:t xml:space="preserve">    guard_memory_writes = True,      # T31/T79 memory protection</w:t>
      </w:r>
    </w:p>
    <w:p>
      <w:pPr>
        <w:spacing w:after="60" w:before="60"/>
        <w:ind w:left="360"/>
      </w:pPr>
      <w:r>
        <w:rPr>
          <w:rFonts w:ascii="Courier New" w:cs="Courier New" w:eastAsia="Courier New" w:hAnsi="Courier New"/>
          <w:color w:val="333333"/>
          <w:sz w:val="18"/>
          <w:szCs w:val="18"/>
        </w:rPr>
        <w:t xml:space="preserve">    guard_agent_defs = True,         # T36 AgentDef protection</w:t>
      </w:r>
    </w:p>
    <w:p>
      <w:pPr>
        <w:spacing w:after="60" w:before="60"/>
        <w:ind w:left="360"/>
      </w:pPr>
      <w:r>
        <w:rPr>
          <w:rFonts w:ascii="Courier New" w:cs="Courier New" w:eastAsia="Courier New" w:hAnsi="Courier New"/>
          <w:color w:val="333333"/>
          <w:sz w:val="18"/>
          <w:szCs w:val="18"/>
        </w:rPr>
        <w:t xml:space="preserve">)</w:t>
      </w:r>
    </w:p>
    <w:p>
      <w:pPr>
        <w:spacing w:after="40"/>
      </w:pPr>
    </w:p>
    <w:p>
      <w:pPr>
        <w:spacing w:after="120" w:before="0" w:line="276"/>
      </w:pPr>
      <w:r>
        <w:rPr>
          <w:rFonts w:ascii="Arial" w:cs="Arial" w:eastAsia="Arial" w:hAnsi="Arial"/>
          <w:b w:val="false"/>
          <w:bCs w:val="false"/>
          <w:i w:val="false"/>
          <w:iCs w:val="false"/>
          <w:sz w:val="22"/>
          <w:szCs w:val="22"/>
        </w:rPr>
        <w:t xml:space="preserve">Under 1ms per call. Zero network dependency. No proxy. No sidecar. No port.</w:t>
      </w:r>
    </w:p>
    <w:p>
      <w:r>
        <w:br w:type="page"/>
      </w:r>
    </w:p>
    <w:p>
      <w:pPr>
        <w:pStyle w:val="Heading1"/>
        <w:spacing w:after="120" w:before="360"/>
      </w:pPr>
      <w:r>
        <w:rPr>
          <w:rFonts w:ascii="Arial" w:cs="Arial" w:eastAsia="Arial" w:hAnsi="Arial"/>
          <w:b/>
          <w:bCs/>
          <w:color w:val="1a1a1a"/>
          <w:sz w:val="32"/>
          <w:szCs w:val="32"/>
        </w:rPr>
        <w:t xml:space="preserve">82 Threat Families</w:t>
      </w:r>
    </w:p>
    <w:p>
      <w:pPr>
        <w:spacing w:after="120" w:before="0" w:line="276"/>
      </w:pPr>
      <w:r>
        <w:rPr>
          <w:rFonts w:ascii="Arial" w:cs="Arial" w:eastAsia="Arial" w:hAnsi="Arial"/>
          <w:b w:val="false"/>
          <w:bCs w:val="false"/>
          <w:i w:val="false"/>
          <w:iCs w:val="false"/>
          <w:sz w:val="22"/>
          <w:szCs w:val="22"/>
        </w:rPr>
        <w:t xml:space="preserve">Mapped to MITRE ATLAS techniques. Citation-verified. Every rule has a corresponding ATLAS technique ID. No rule enters production without a citation anchor.</w:t>
      </w:r>
    </w:p>
    <w:p>
      <w:pPr>
        <w:spacing w:after="60"/>
      </w:pPr>
    </w:p>
    <w:p>
      <w:pPr>
        <w:pStyle w:val="Heading2"/>
        <w:spacing w:after="120" w:before="240"/>
      </w:pPr>
      <w:r>
        <w:rPr>
          <w:rFonts w:ascii="Arial" w:cs="Arial" w:eastAsia="Arial" w:hAnsi="Arial"/>
          <w:b/>
          <w:bCs/>
          <w:color w:val="1a1a1a"/>
          <w:sz w:val="26"/>
          <w:szCs w:val="26"/>
        </w:rPr>
        <w:t xml:space="preserve">T01-T43: Core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Range</w:t>
            </w:r>
          </w:p>
        </w:tc>
        <w:tc>
          <w:tcPr>
            <w:tcW w:type="dxa" w:w="756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Coverage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T01-T10</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Exfiltration and data exposure: EXFIL, SSRF, SHADOW_WRITE, CRED_HARVEST, PROMPT_INJECT, CAMPAIGN, RECON, LATERAL, PERSISTENCE, PRIV_ESC</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T11-T20</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Infrastructure abuse: ENV_LEAK, NET_SCAN, DNS_REBIND, CACHE_POISON, LOG_TAMPER, SHELL_INJECT, PATH_TRAV, SYM_LINK, CRED_HARVEST extended, DEST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T21-T30</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Supply chain and agent trust: PKG_CONFUSE, TYPOSQUAT, DEP_CONFUSION, TOOL_REDEF, AGENT_IMPERSONATE, TRUST_CHAIN, MEM_INJECT, RAG_POISON, CONTEXT_MANIP, SUPPLY_CHAIN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T31-T43</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Agentic threats: REWARD_HACK, GOAL_MISALIGN, SANDBOX_ESCAPE, DATA_PIPELINE, PERSONAL_AGENT, AGENTDEF, FIN_EXEC, AGENT_SPAWN, ORCHESTRATION, SHARED_CONTEXT_POISON, OUTBOUND_SECRET_LEAK, INSTRUCTION_REWRITE_POISON, HONEYPOT_ACCESS</w:t>
            </w:r>
          </w:p>
        </w:tc>
      </w:tr>
    </w:tbl>
    <w:p>
      <w:pPr>
        <w:spacing w:after="120"/>
      </w:pPr>
    </w:p>
    <w:p>
      <w:pPr>
        <w:pStyle w:val="Heading2"/>
        <w:spacing w:after="120" w:before="240"/>
      </w:pPr>
      <w:r>
        <w:rPr>
          <w:rFonts w:ascii="Arial" w:cs="Arial" w:eastAsia="Arial" w:hAnsi="Arial"/>
          <w:b/>
          <w:bCs/>
          <w:color w:val="1a1a1a"/>
          <w:sz w:val="26"/>
          <w:szCs w:val="26"/>
        </w:rPr>
        <w:t xml:space="preserve">T44-T66: Infrastructure-to-Agent and Campaign Threats</w:t>
      </w:r>
    </w:p>
    <w:p>
      <w:pPr>
        <w:spacing w:after="120" w:before="0" w:line="276"/>
      </w:pPr>
      <w:r>
        <w:rPr>
          <w:rFonts w:ascii="Arial" w:cs="Arial" w:eastAsia="Arial" w:hAnsi="Arial"/>
          <w:b w:val="false"/>
          <w:bCs w:val="false"/>
          <w:i w:val="false"/>
          <w:iCs w:val="false"/>
          <w:sz w:val="22"/>
          <w:szCs w:val="22"/>
        </w:rPr>
        <w:t xml:space="preserve">INFERENCE_ROUTER_HIJACK, TOKEN_BUDGET_EXHAUSTION, COMPUTE_RESOURCE_ABUSE, and 20 additional rules covering infrastructure-to-agent attacks, agent-to-agent attacks at scale, and vector store poisoning.</w:t>
      </w:r>
    </w:p>
    <w:p>
      <w:pPr>
        <w:spacing w:after="120"/>
      </w:pPr>
    </w:p>
    <w:p>
      <w:pPr>
        <w:pStyle w:val="Heading2"/>
        <w:spacing w:after="120" w:before="240"/>
      </w:pPr>
      <w:r>
        <w:rPr>
          <w:rFonts w:ascii="Arial" w:cs="Arial" w:eastAsia="Arial" w:hAnsi="Arial"/>
          <w:b/>
          <w:bCs/>
          <w:color w:val="1a1a1a"/>
          <w:sz w:val="26"/>
          <w:szCs w:val="26"/>
        </w:rPr>
        <w:t xml:space="preserve">T67-T82: Expanded Rules (v0.20.0-v0.25.11)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800"/>
        <w:gridCol w:w="4460"/>
      </w:tblGrid>
      <w:tr>
        <w:tc>
          <w:tcPr>
            <w:tcW w:type="dxa" w:w="9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Rule</w:t>
            </w:r>
          </w:p>
        </w:tc>
        <w:tc>
          <w:tcPr>
            <w:tcW w:type="dxa" w:w="32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Name</w:t>
            </w:r>
          </w:p>
        </w:tc>
        <w:tc>
          <w:tcPr>
            <w:tcW w:type="dxa" w:w="8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Score</w:t>
            </w:r>
          </w:p>
        </w:tc>
        <w:tc>
          <w:tcPr>
            <w:tcW w:type="dxa" w:w="446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Source</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T67</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HEARTBEAT_SILENCE</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0.88</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Power user architecture pattern</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T68</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INSECURE_DEFAULT_CONFIG</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0.95</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SecurityScorecard STRIKE data</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T69</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PLAN_DRIFT</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0.95</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Superpowers integration</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T70</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ENV_PATH_HIJACK</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0.88</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GHSA-mc68-q9jw-2h3v</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T71</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PAIRING_GRACE_ABUSE</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0.87</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OpenClaw ATLAS T-ACCESS-001</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T72</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CHANNEL_IDENTITY_SPOOF</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0.89</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OpenClaw ATLAS T-ACCESS-002</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T73</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TOOL_ENUMERATION</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0.75</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OpenClaw ATLAS T-DISC-001</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T74</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CONTENT_WRAPPER_ESCAPE</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0.84</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OpenClaw ATLAS T-EVADE-002</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T75</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SESSION_DATA_EXTRACT</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0.82</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OpenClaw ATLAS T-DISC-002</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T76</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NEMOCLAW_POLICY_BYPASS</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0.95</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NemoClaw GTC 2026 launch</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T77</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OVERNIGHT_JOB_INJECTION</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0.87</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Vox AI / Berman Tip 6</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T78</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HALLUCINATION_CASCADE</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0.82</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Vox AI case study / Game Studios</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T79</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PERSISTENT_MEMORY_INJECT</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0.92</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WeeklyClaw #004 / Gigabrain</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T80</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UNCENSORED_MODEL_ROUTE</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0.78</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smolagents / HF Spaces ecosystem</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T81</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PTH_FILE_INJECT</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0.98</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LiteLLM supply chain attack (Mar 2026)</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T82</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SELF_IMPROVEMENT_HIJACK</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0.96</w:t>
            </w:r>
          </w:p>
        </w:tc>
        <w:tc>
          <w:tcPr>
            <w:tcW w:type="dxa" w:w="4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DGM-Hyperagents (Facebook Research)</w:t>
            </w:r>
          </w:p>
        </w:tc>
      </w:tr>
    </w:tbl>
    <w:p>
      <w:pPr>
        <w:spacing w:after="60"/>
      </w:pPr>
    </w:p>
    <w:p>
      <w:pPr>
        <w:spacing w:after="120" w:before="0" w:line="276"/>
      </w:pPr>
      <w:r>
        <w:rPr>
          <w:rFonts w:ascii="Arial" w:cs="Arial" w:eastAsia="Arial" w:hAnsi="Arial"/>
          <w:b/>
          <w:bCs/>
          <w:sz w:val="20"/>
          <w:szCs w:val="20"/>
        </w:rPr>
        <w:t xml:space="preserve">T81 technical note: </w:t>
      </w:r>
      <w:r>
        <w:rPr>
          <w:rFonts w:ascii="Arial" w:cs="Arial" w:eastAsia="Arial" w:hAnsi="Arial"/>
          <w:sz w:val="20"/>
          <w:szCs w:val="20"/>
        </w:rPr>
        <w:t xml:space="preserve">Fires the moment a .pth file with executable content is written to site-packages, before the first Python restart, before the first exfiltration. The LiteLLM attack (March 24, 2026) used exactly this mechanism. litellm_init.pth contained double base64-encoded credential harvesting code that executed on every Python process launch via the site module. T81 existed before the attack. The rule caught the mechanism. aiglos scan-deps checks installed environments retroactively.</w:t>
      </w:r>
    </w:p>
    <w:p>
      <w:pPr>
        <w:spacing w:after="120" w:before="0" w:line="276"/>
      </w:pPr>
      <w:r>
        <w:rPr>
          <w:rFonts w:ascii="Arial" w:cs="Arial" w:eastAsia="Arial" w:hAnsi="Arial"/>
          <w:b/>
          <w:bCs/>
          <w:sz w:val="20"/>
          <w:szCs w:val="20"/>
        </w:rPr>
        <w:t xml:space="preserve">T82 technical note: </w:t>
      </w:r>
      <w:r>
        <w:rPr>
          <w:rFonts w:ascii="Arial" w:cs="Arial" w:eastAsia="Arial" w:hAnsi="Arial"/>
          <w:sz w:val="20"/>
          <w:szCs w:val="20"/>
        </w:rPr>
        <w:t xml:space="preserve">DGM-Hyperagents (Facebook Research, March 2026) enables agents that modify both their task behavior and the process that generates future improvements. T82 fires on adversarial writes to self-improvement infrastructure: agent archives, evaluation results, improvement procedures. Unlike T36 (poison one agent definition), T82 poisons the process that generates all future agents. One successful injection, infinite forward propagation. Score 0.96. Both conditions required: path matches self-improvement infrastructure AND content contains injection patterns.</w:t>
      </w:r>
    </w:p>
    <w:p>
      <w:r>
        <w:br w:type="page"/>
      </w:r>
    </w:p>
    <w:p>
      <w:pPr>
        <w:pStyle w:val="Heading1"/>
        <w:spacing w:after="120" w:before="360"/>
      </w:pPr>
      <w:r>
        <w:rPr>
          <w:rFonts w:ascii="Arial" w:cs="Arial" w:eastAsia="Arial" w:hAnsi="Arial"/>
          <w:b/>
          <w:bCs/>
          <w:color w:val="1a1a1a"/>
          <w:sz w:val="32"/>
          <w:szCs w:val="32"/>
        </w:rPr>
        <w:t xml:space="preserve">23 Campaign Patterns</w:t>
      </w:r>
    </w:p>
    <w:p>
      <w:pPr>
        <w:spacing w:after="120" w:before="0" w:line="276"/>
      </w:pPr>
      <w:r>
        <w:rPr>
          <w:rFonts w:ascii="Arial" w:cs="Arial" w:eastAsia="Arial" w:hAnsi="Arial"/>
          <w:b w:val="false"/>
          <w:bCs w:val="false"/>
          <w:i w:val="false"/>
          <w:iCs w:val="false"/>
          <w:sz w:val="22"/>
          <w:szCs w:val="22"/>
        </w:rPr>
        <w:t xml:space="preserve">Multi-step attack sequence detection invisible to single-call rule engines. Fires when individual tool calls form recognized attack sequences across 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700"/>
        <w:gridCol w:w="3460"/>
      </w:tblGrid>
      <w:tr>
        <w:tc>
          <w:tcPr>
            <w:tcW w:type="dxa" w:w="28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Pattern</w:t>
            </w:r>
          </w:p>
        </w:tc>
        <w:tc>
          <w:tcPr>
            <w:tcW w:type="dxa" w:w="24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Sequence</w:t>
            </w:r>
          </w:p>
        </w:tc>
        <w:tc>
          <w:tcPr>
            <w:tcW w:type="dxa" w:w="7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Conf.</w:t>
            </w:r>
          </w:p>
        </w:tc>
        <w:tc>
          <w:tcPr>
            <w:tcW w:type="dxa" w:w="346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RECON_SWEEP</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T07 &gt; T04</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0.88</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Environment read &gt; targeted credential access</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CREDENTIAL_ACCUMULATE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T19 &gt; T12 &gt; T01</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0.91</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Progressive credential gathering &gt; exfil</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EXFIL_SETUP</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T07 &gt; T03 &gt; T01</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0.89</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Recon &gt; staging &gt; exfiltration</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PERSISTENCE_CHAIN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T09 &gt; T34</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0.87</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Multi-step persistence installation</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LATERAL_PREP</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T08 &gt; T13</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0.85</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Lateral movement preparation</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AGENTDEF_CHAIN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T36 read &gt; T36 write</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0.94</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Read-then-write on agent definitions</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MEMORY_PERSISTENCE_CHAIN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T31 &gt; T27</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0.88</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Cross-session memory persistence</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REWARD_MANIPULATION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T31 &gt; T32</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0.86</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RL reward signal manipulation</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REPEATED_INJECTION_ATTEMPT</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T05 x 3+</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0.84</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Persistent injection retries</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EXTERNAL_INSTRUCTION_CHANNEL</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T13 &gt; T05</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0.87</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External C2 channel establishment</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SKILL_CHAIN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T30 &gt; T10</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0.89</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Capability chaining for privilege escalation</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SANDBOX_ESCAPE_ATTEMPT</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T33 x 2+</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0.88</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Multi-step sandbox boundary probing</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GAAS_TAKEOVER</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T25 &gt; T28</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0.86</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GaaS hijack sequence</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INFERENCE_HIJACK_CHAIN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T44 &gt; T01</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0.87</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Model routing compromise &gt; exfil</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RAG_POISON_CHAIN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T54 &gt; T05</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0.91</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Retrieval context poisoning</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MULTI_AGENT_IMPERSONATION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T25 x 3+</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0.88</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Agent identity substitution at scale</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CAPABILITY_EXPLOIT_CHAIN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T38 &gt; T10</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0.86</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Capability boundary exploitation</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SANDBOX_CONFIRMED_ESCAPE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T33 &gt; T01</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0.96</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Confirmed sandbox exit with evidence</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SUPERPOWERS_PLAN_HIJACK</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T69 &gt; T01</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0.97</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Plan manipulation &gt; exfil</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NEMOCLAW_POLICY_HIJACK</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T76 &gt; {T68,T12,T14}</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0.96</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Policy bypass &gt; insecure config or exfil</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GIGABRAIN_MEMORY_POISON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T31 &gt; T79</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0.95</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In-session probe &gt; persistent commit</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REPO_TAKEOVER_CHAIN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T30 &gt; T81 &gt; T04 &gt; T41</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0.94</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Install &gt; .pth write &gt; cred harvest &gt; exfil &gt; republish</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METACOGNITIVE_POISON_CHAIN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T31/T79 &gt; T82</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0.95</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Memory injection &gt; self-improvement pipeline write</w:t>
            </w:r>
          </w:p>
        </w:tc>
      </w:tr>
    </w:tbl>
    <w:p>
      <w:r>
        <w:br w:type="page"/>
      </w:r>
    </w:p>
    <w:p>
      <w:pPr>
        <w:pStyle w:val="Heading1"/>
        <w:spacing w:after="120" w:before="360"/>
      </w:pPr>
      <w:r>
        <w:rPr>
          <w:rFonts w:ascii="Arial" w:cs="Arial" w:eastAsia="Arial" w:hAnsi="Arial"/>
          <w:b/>
          <w:bCs/>
          <w:color w:val="1a1a1a"/>
          <w:sz w:val="32"/>
          <w:szCs w:val="32"/>
        </w:rPr>
        <w:t xml:space="preserve">Integrations</w:t>
      </w:r>
    </w:p>
    <w:p>
      <w:pPr>
        <w:pStyle w:val="Heading2"/>
        <w:spacing w:after="120" w:before="240"/>
      </w:pPr>
      <w:r>
        <w:rPr>
          <w:rFonts w:ascii="Arial" w:cs="Arial" w:eastAsia="Arial" w:hAnsi="Arial"/>
          <w:b/>
          <w:bCs/>
          <w:color w:val="1a1a1a"/>
          <w:sz w:val="26"/>
          <w:szCs w:val="26"/>
        </w:rPr>
        <w:t xml:space="preserve">OpenShell: Agent-Agnostic Sandbox</w:t>
      </w:r>
    </w:p>
    <w:p>
      <w:pPr>
        <w:spacing w:after="120" w:before="0" w:line="276"/>
      </w:pPr>
      <w:r>
        <w:rPr>
          <w:rFonts w:ascii="Arial" w:cs="Arial" w:eastAsia="Arial" w:hAnsi="Arial"/>
          <w:b w:val="false"/>
          <w:bCs w:val="false"/>
          <w:i w:val="false"/>
          <w:iCs w:val="false"/>
          <w:sz w:val="22"/>
          <w:szCs w:val="22"/>
        </w:rPr>
        <w:t xml:space="preserve">NVIDIA NemoClaw announced at GTC 2026. OpenShell is the sandbox layer (Landlock + seccomp + netns isolation). Aiglos is the behavioral detection layer above it.</w:t>
      </w:r>
    </w:p>
    <w:p>
      <w:pPr>
        <w:spacing w:after="40"/>
      </w:pPr>
    </w:p>
    <w:p>
      <w:pPr>
        <w:spacing w:after="60" w:before="60"/>
        <w:ind w:left="360"/>
      </w:pPr>
      <w:r>
        <w:rPr>
          <w:rFonts w:ascii="Courier New" w:cs="Courier New" w:eastAsia="Courier New" w:hAnsi="Courier New"/>
          <w:color w:val="333333"/>
          <w:sz w:val="18"/>
          <w:szCs w:val="18"/>
        </w:rPr>
        <w:t xml:space="preserve">from aiglos.integrations.openShell import openshell_detect, attach_for_claude_code</w:t>
      </w:r>
    </w:p>
    <w:p>
      <w:pPr>
        <w:spacing w:after="60" w:before="60"/>
        <w:ind w:left="360"/>
      </w:pPr>
      <w:r>
        <w:rPr>
          <w:rFonts w:ascii="Courier New" w:cs="Courier New" w:eastAsia="Courier New" w:hAnsi="Courier New"/>
          <w:color w:val="333333"/>
          <w:sz w:val="18"/>
          <w:szCs w:val="18"/>
        </w:rPr>
        <w:t xml:space="preserve">session = openshell_detect(guard)  # auto-reads OPENSHELL_POLICY_PATH</w:t>
      </w:r>
    </w:p>
    <w:p>
      <w:pPr>
        <w:spacing w:after="40"/>
      </w:pPr>
    </w:p>
    <w:p>
      <w:pPr>
        <w:spacing w:after="120" w:before="0" w:line="276"/>
      </w:pPr>
      <w:r>
        <w:rPr>
          <w:rFonts w:ascii="Arial" w:cs="Arial" w:eastAsia="Arial" w:hAnsi="Arial"/>
          <w:b w:val="false"/>
          <w:bCs w:val="false"/>
          <w:i w:val="false"/>
          <w:iCs w:val="false"/>
          <w:sz w:val="22"/>
          <w:szCs w:val="22"/>
        </w:rPr>
        <w:t xml:space="preserve">17 known agents: Claude Code, Codex, Cursor, OpenClaw, Windsurf, Aider, Continue, Cody, smolagents, Claude Code Game Studios (ccgs), and others. Same YAML policy enforces identically for all agents.</w:t>
      </w:r>
    </w:p>
    <w:p>
      <w:pPr>
        <w:spacing w:after="60"/>
      </w:pPr>
    </w:p>
    <w:p>
      <w:pPr>
        <w:pStyle w:val="Heading2"/>
        <w:spacing w:after="120" w:before="240"/>
      </w:pPr>
      <w:r>
        <w:rPr>
          <w:rFonts w:ascii="Arial" w:cs="Arial" w:eastAsia="Arial" w:hAnsi="Arial"/>
          <w:b/>
          <w:bCs/>
          <w:color w:val="1a1a1a"/>
          <w:sz w:val="26"/>
          <w:szCs w:val="26"/>
        </w:rPr>
        <w:t xml:space="preserve">NemoClaw: YAML Policy Import</w:t>
      </w:r>
    </w:p>
    <w:p>
      <w:pPr>
        <w:spacing w:after="120" w:before="0" w:line="276"/>
      </w:pPr>
      <w:r>
        <w:rPr>
          <w:rFonts w:ascii="Arial" w:cs="Arial" w:eastAsia="Arial" w:hAnsi="Arial"/>
          <w:b w:val="false"/>
          <w:bCs w:val="false"/>
          <w:i w:val="false"/>
          <w:iCs w:val="false"/>
          <w:sz w:val="22"/>
          <w:szCs w:val="22"/>
        </w:rPr>
        <w:t xml:space="preserve">Allowed hosts/files/tools from YAML become T69/T76 enforcement boundary. T76 fires if agent writes to .nemoclaw/ policy files at runtime.</w:t>
      </w:r>
    </w:p>
    <w:p>
      <w:pPr>
        <w:spacing w:after="60"/>
      </w:pPr>
    </w:p>
    <w:p>
      <w:pPr>
        <w:pStyle w:val="Heading2"/>
        <w:spacing w:after="120" w:before="240"/>
      </w:pPr>
      <w:r>
        <w:rPr>
          <w:rFonts w:ascii="Arial" w:cs="Arial" w:eastAsia="Arial" w:hAnsi="Arial"/>
          <w:b/>
          <w:bCs/>
          <w:color w:val="1a1a1a"/>
          <w:sz w:val="26"/>
          <w:szCs w:val="26"/>
        </w:rPr>
        <w:t xml:space="preserve">Superpowers: Plan as Policy</w:t>
      </w:r>
    </w:p>
    <w:p>
      <w:pPr>
        <w:spacing w:after="120" w:before="0" w:line="276"/>
      </w:pPr>
      <w:r>
        <w:rPr>
          <w:rFonts w:ascii="Arial" w:cs="Arial" w:eastAsia="Arial" w:hAnsi="Arial"/>
          <w:b w:val="false"/>
          <w:bCs w:val="false"/>
          <w:i w:val="false"/>
          <w:iCs w:val="false"/>
          <w:sz w:val="22"/>
          <w:szCs w:val="22"/>
        </w:rPr>
        <w:t xml:space="preserve">The approved implementation plan becomes the T69 enforcement boundary. Plan deviation fires T69 PLAN_DRIFT (0.95). SUPERPOWERS_PLAN_HIJACK campaign (0.97) is the most confident pattern in the taxonomy.</w:t>
      </w:r>
    </w:p>
    <w:p>
      <w:pPr>
        <w:spacing w:after="60"/>
      </w:pPr>
    </w:p>
    <w:p>
      <w:pPr>
        <w:pStyle w:val="Heading2"/>
        <w:spacing w:after="120" w:before="240"/>
      </w:pPr>
      <w:r>
        <w:rPr>
          <w:rFonts w:ascii="Arial" w:cs="Arial" w:eastAsia="Arial" w:hAnsi="Arial"/>
          <w:b/>
          <w:bCs/>
          <w:color w:val="1a1a1a"/>
          <w:sz w:val="26"/>
          <w:szCs w:val="26"/>
        </w:rPr>
        <w:t xml:space="preserve">smolagents (HuggingFace)</w:t>
      </w:r>
    </w:p>
    <w:p>
      <w:pPr>
        <w:spacing w:after="120" w:before="0" w:line="276"/>
      </w:pPr>
      <w:r>
        <w:rPr>
          <w:rFonts w:ascii="Arial" w:cs="Arial" w:eastAsia="Arial" w:hAnsi="Arial"/>
          <w:b w:val="false"/>
          <w:bCs w:val="false"/>
          <w:i w:val="false"/>
          <w:iCs w:val="false"/>
          <w:sz w:val="22"/>
          <w:szCs w:val="22"/>
        </w:rPr>
        <w:t xml:space="preserve">attach_for_smolagents(guard, agent) intercepts CodeAgent and ToolCallingAgent tool calls. T80 UNCENSORED_MODEL_ROUTE fires on inference routing to uncensored/abliterated models. HF Spaces MCP feed monitors the registry for malicious skills alongside GHSA, NVD, OSV.dev, and PyPI feeds.</w:t>
      </w:r>
    </w:p>
    <w:p>
      <w:pPr>
        <w:spacing w:after="60"/>
      </w:pPr>
    </w:p>
    <w:p>
      <w:pPr>
        <w:pStyle w:val="Heading2"/>
        <w:spacing w:after="120" w:before="240"/>
      </w:pPr>
      <w:r>
        <w:rPr>
          <w:rFonts w:ascii="Arial" w:cs="Arial" w:eastAsia="Arial" w:hAnsi="Arial"/>
          <w:b/>
          <w:bCs/>
          <w:color w:val="1a1a1a"/>
          <w:sz w:val="26"/>
          <w:szCs w:val="26"/>
        </w:rPr>
        <w:t xml:space="preserve">OpenClaw MCP Server</w:t>
      </w:r>
    </w:p>
    <w:p>
      <w:pPr>
        <w:spacing w:after="120" w:before="0" w:line="276"/>
      </w:pPr>
      <w:r>
        <w:rPr>
          <w:rFonts w:ascii="Arial" w:cs="Arial" w:eastAsia="Arial" w:hAnsi="Arial"/>
          <w:b w:val="false"/>
          <w:bCs w:val="false"/>
          <w:i w:val="false"/>
          <w:iCs w:val="false"/>
          <w:sz w:val="22"/>
          <w:szCs w:val="22"/>
        </w:rPr>
        <w:t xml:space="preserve">attach_for_openclaw_mcp(guard) registers the 9 OpenClaw MCP tools. messages_read output: injection-scanned (cross-agent injection via shared Slack/Telegram). messages_send: T41 outbound secret detection + T28 fleet coordination. settings_write: T36 gateway config protection. webhooks_create: T13 SSRF for private endpoint registration.</w:t>
      </w:r>
    </w:p>
    <w:p>
      <w:pPr>
        <w:spacing w:after="60"/>
      </w:pPr>
    </w:p>
    <w:p>
      <w:pPr>
        <w:pStyle w:val="Heading2"/>
        <w:spacing w:after="120" w:before="240"/>
      </w:pPr>
      <w:r>
        <w:rPr>
          <w:rFonts w:ascii="Arial" w:cs="Arial" w:eastAsia="Arial" w:hAnsi="Arial"/>
          <w:b/>
          <w:bCs/>
          <w:color w:val="1a1a1a"/>
          <w:sz w:val="26"/>
          <w:szCs w:val="26"/>
        </w:rPr>
        <w:t xml:space="preserve">Sub-Agent Declaration</w:t>
      </w:r>
    </w:p>
    <w:p>
      <w:pPr>
        <w:spacing w:after="60" w:before="60"/>
        <w:ind w:left="360"/>
      </w:pPr>
      <w:r>
        <w:rPr>
          <w:rFonts w:ascii="Courier New" w:cs="Courier New" w:eastAsia="Courier New" w:hAnsi="Courier New"/>
          <w:color w:val="333333"/>
          <w:sz w:val="18"/>
          <w:szCs w:val="18"/>
        </w:rPr>
        <w:t xml:space="preserve">guard.declare_subagent(</w:t>
      </w:r>
    </w:p>
    <w:p>
      <w:pPr>
        <w:spacing w:after="60" w:before="60"/>
        <w:ind w:left="360"/>
      </w:pPr>
      <w:r>
        <w:rPr>
          <w:rFonts w:ascii="Courier New" w:cs="Courier New" w:eastAsia="Courier New" w:hAnsi="Courier New"/>
          <w:color w:val="333333"/>
          <w:sz w:val="18"/>
          <w:szCs w:val="18"/>
        </w:rPr>
        <w:t xml:space="preserve">    "coding-agent",</w:t>
      </w:r>
    </w:p>
    <w:p>
      <w:pPr>
        <w:spacing w:after="60" w:before="60"/>
        <w:ind w:left="360"/>
      </w:pPr>
      <w:r>
        <w:rPr>
          <w:rFonts w:ascii="Courier New" w:cs="Courier New" w:eastAsia="Courier New" w:hAnsi="Courier New"/>
          <w:color w:val="333333"/>
          <w:sz w:val="18"/>
          <w:szCs w:val="18"/>
        </w:rPr>
        <w:t xml:space="preserve">    tools = ["filesystem", "shell.execute", "web_search"],</w:t>
      </w:r>
    </w:p>
    <w:p>
      <w:pPr>
        <w:spacing w:after="60" w:before="60"/>
        <w:ind w:left="360"/>
      </w:pPr>
      <w:r>
        <w:rPr>
          <w:rFonts w:ascii="Courier New" w:cs="Courier New" w:eastAsia="Courier New" w:hAnsi="Courier New"/>
          <w:color w:val="333333"/>
          <w:sz w:val="18"/>
          <w:szCs w:val="18"/>
        </w:rPr>
        <w:t xml:space="preserve">    scope_files = ["src/", "tests/"],</w:t>
      </w:r>
    </w:p>
    <w:p>
      <w:pPr>
        <w:spacing w:after="60" w:before="60"/>
        <w:ind w:left="360"/>
      </w:pPr>
      <w:r>
        <w:rPr>
          <w:rFonts w:ascii="Courier New" w:cs="Courier New" w:eastAsia="Courier New" w:hAnsi="Courier New"/>
          <w:color w:val="333333"/>
          <w:sz w:val="18"/>
          <w:szCs w:val="18"/>
        </w:rPr>
        <w:t xml:space="preserve">    model = "claude-sonnet",</w:t>
      </w:r>
    </w:p>
    <w:p>
      <w:pPr>
        <w:spacing w:after="60" w:before="60"/>
        <w:ind w:left="360"/>
      </w:pPr>
      <w:r>
        <w:rPr>
          <w:rFonts w:ascii="Courier New" w:cs="Courier New" w:eastAsia="Courier New" w:hAnsi="Courier New"/>
          <w:color w:val="333333"/>
          <w:sz w:val="18"/>
          <w:szCs w:val="18"/>
        </w:rPr>
        <w:t xml:space="preserve">    hard_bans = ["fabricate_data", "unverified_claims"],</w:t>
      </w:r>
    </w:p>
    <w:p>
      <w:pPr>
        <w:spacing w:after="60" w:before="60"/>
        <w:ind w:left="360"/>
      </w:pPr>
      <w:r>
        <w:rPr>
          <w:rFonts w:ascii="Courier New" w:cs="Courier New" w:eastAsia="Courier New" w:hAnsi="Courier New"/>
          <w:color w:val="333333"/>
          <w:sz w:val="18"/>
          <w:szCs w:val="18"/>
        </w:rPr>
        <w:t xml:space="preserve">)</w:t>
      </w:r>
    </w:p>
    <w:p>
      <w:pPr>
        <w:spacing w:after="40"/>
      </w:pPr>
    </w:p>
    <w:p>
      <w:pPr>
        <w:spacing w:after="120" w:before="0" w:line="276"/>
      </w:pPr>
      <w:r>
        <w:rPr>
          <w:rFonts w:ascii="Arial" w:cs="Arial" w:eastAsia="Arial" w:hAnsi="Arial"/>
          <w:b w:val="false"/>
          <w:bCs w:val="false"/>
          <w:i w:val="false"/>
          <w:iCs w:val="false"/>
          <w:sz w:val="22"/>
          <w:szCs w:val="22"/>
        </w:rPr>
        <w:t xml:space="preserve">Three T38 outcomes: Declared + in-scope: score 0.0 (suppressed). Declared + out-of-scope: score 0.90 (elevated). Undeclared spawn: score 0.78 (normal threshold).</w:t>
      </w:r>
    </w:p>
    <w:p>
      <w:pPr>
        <w:spacing w:after="60"/>
      </w:pPr>
    </w:p>
    <w:p>
      <w:pPr>
        <w:pStyle w:val="Heading2"/>
        <w:spacing w:after="120" w:before="240"/>
      </w:pPr>
      <w:r>
        <w:rPr>
          <w:rFonts w:ascii="Arial" w:cs="Arial" w:eastAsia="Arial" w:hAnsi="Arial"/>
          <w:b/>
          <w:bCs/>
          <w:color w:val="1a1a1a"/>
          <w:sz w:val="26"/>
          <w:szCs w:val="26"/>
        </w:rPr>
        <w:t xml:space="preserve">Game Studios Pipeline</w:t>
      </w:r>
    </w:p>
    <w:p>
      <w:pPr>
        <w:spacing w:after="120" w:before="0" w:line="276"/>
      </w:pPr>
      <w:r>
        <w:rPr>
          <w:rFonts w:ascii="Arial" w:cs="Arial" w:eastAsia="Arial" w:hAnsi="Arial"/>
          <w:b w:val="false"/>
          <w:bCs w:val="false"/>
          <w:i w:val="false"/>
          <w:iCs w:val="false"/>
          <w:sz w:val="22"/>
          <w:szCs w:val="22"/>
        </w:rPr>
        <w:t xml:space="preserve">declare_studio_pipeline(guard, roles, studio_name) registers up to 25 named roles with pre-scoped tools and hard bans. STUDIO_ROLE_TOOLS covers Art Director, Creative Director, Game Designer, Narrative Designer, programmers, artists, QA, producers, and more. Built for the Claude Code Game Studios architecture (48-agent pipelines).</w:t>
      </w:r>
    </w:p>
    <w:p>
      <w:pPr>
        <w:spacing w:after="60"/>
      </w:pPr>
    </w:p>
    <w:p>
      <w:pPr>
        <w:pStyle w:val="Heading2"/>
        <w:spacing w:after="120" w:before="240"/>
      </w:pPr>
      <w:r>
        <w:rPr>
          <w:rFonts w:ascii="Arial" w:cs="Arial" w:eastAsia="Arial" w:hAnsi="Arial"/>
          <w:b/>
          <w:bCs/>
          <w:color w:val="1a1a1a"/>
          <w:sz w:val="26"/>
          <w:szCs w:val="26"/>
        </w:rPr>
        <w:t xml:space="preserve">Persistent Memory Protection</w:t>
      </w:r>
    </w:p>
    <w:p>
      <w:pPr>
        <w:spacing w:after="120" w:before="0" w:line="276"/>
      </w:pPr>
      <w:r>
        <w:rPr>
          <w:rFonts w:ascii="Arial" w:cs="Arial" w:eastAsia="Arial" w:hAnsi="Arial"/>
          <w:b w:val="false"/>
          <w:bCs w:val="false"/>
          <w:i w:val="false"/>
          <w:iCs w:val="false"/>
          <w:sz w:val="22"/>
          <w:szCs w:val="22"/>
        </w:rPr>
        <w:t xml:space="preserve">8 backends: Gigabrain, MemoryOS, mem0, Letta, Zep, Chroma, Pinecone, Qdrant. gigabrain_autodetect(guard) for zero-config. declare_memory_backend(guard, backend, db_path) for explicit registration. ByteRover Context Tree paths registered with T79 enforcement via byterover_autodetect(guard). is_memory_tool() provides full coverage across all known memory tool names.</w:t>
      </w:r>
    </w:p>
    <w:p>
      <w:pPr>
        <w:spacing w:after="60"/>
      </w:pPr>
    </w:p>
    <w:p>
      <w:pPr>
        <w:pStyle w:val="Heading2"/>
        <w:spacing w:after="120" w:before="240"/>
      </w:pPr>
      <w:r>
        <w:rPr>
          <w:rFonts w:ascii="Arial" w:cs="Arial" w:eastAsia="Arial" w:hAnsi="Arial"/>
          <w:b/>
          <w:bCs/>
          <w:color w:val="1a1a1a"/>
          <w:sz w:val="26"/>
          <w:szCs w:val="26"/>
        </w:rPr>
        <w:t xml:space="preserve">Self-Improvement Pipeline Protection</w:t>
      </w:r>
    </w:p>
    <w:p>
      <w:pPr>
        <w:spacing w:after="120" w:before="0" w:line="276"/>
      </w:pPr>
      <w:r>
        <w:rPr>
          <w:rFonts w:ascii="Arial" w:cs="Arial" w:eastAsia="Arial" w:hAnsi="Arial"/>
          <w:b w:val="false"/>
          <w:bCs w:val="false"/>
          <w:i w:val="false"/>
          <w:iCs w:val="false"/>
          <w:sz w:val="22"/>
          <w:szCs w:val="22"/>
        </w:rPr>
        <w:t xml:space="preserve">DGM-Hyperagents (Facebook Research, March 2026) and The AI Scientist (Sakana AI, Nature 2026) both create self-improvement pipelines where poisoning the improvement process propagates forward through all future agent generations.</w:t>
      </w:r>
    </w:p>
    <w:p>
      <w:pPr>
        <w:spacing w:after="40"/>
      </w:pPr>
    </w:p>
    <w:p>
      <w:pPr>
        <w:spacing w:after="60" w:before="60"/>
        <w:ind w:left="360"/>
      </w:pPr>
      <w:r>
        <w:rPr>
          <w:rFonts w:ascii="Courier New" w:cs="Courier New" w:eastAsia="Courier New" w:hAnsi="Courier New"/>
          <w:color w:val="333333"/>
          <w:sz w:val="18"/>
          <w:szCs w:val="18"/>
        </w:rPr>
        <w:t xml:space="preserve">from aiglos.integrations.gigabrain import declare_self_improvement_pipeline</w:t>
      </w:r>
    </w:p>
    <w:p>
      <w:pPr>
        <w:spacing w:after="60" w:before="60"/>
        <w:ind w:left="360"/>
      </w:pPr>
      <w:r>
        <w:rPr>
          <w:rFonts w:ascii="Courier New" w:cs="Courier New" w:eastAsia="Courier New" w:hAnsi="Courier New"/>
          <w:color w:val="333333"/>
          <w:sz w:val="18"/>
          <w:szCs w:val="18"/>
        </w:rPr>
        <w:t xml:space="preserve">session = declare_self_improvement_pipeline(guard, archive_path="./agents/archive/", eval_path="./evals/results.json")</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Or zero-config for DGM-H / AI Scientist directory structures:</w:t>
      </w:r>
    </w:p>
    <w:p>
      <w:pPr>
        <w:spacing w:after="60" w:before="60"/>
        <w:ind w:left="360"/>
      </w:pPr>
      <w:r>
        <w:rPr>
          <w:rFonts w:ascii="Courier New" w:cs="Courier New" w:eastAsia="Courier New" w:hAnsi="Courier New"/>
          <w:color w:val="333333"/>
          <w:sz w:val="18"/>
          <w:szCs w:val="18"/>
        </w:rPr>
        <w:t xml:space="preserve">from aiglos.integrations.gigabrain import dgm_hyperagents_autodetect, ai_scientist_autodetect</w:t>
      </w:r>
    </w:p>
    <w:p>
      <w:pPr>
        <w:spacing w:after="40"/>
      </w:pPr>
    </w:p>
    <w:p>
      <w:pPr>
        <w:spacing w:after="120" w:before="0" w:line="276"/>
      </w:pPr>
      <w:r>
        <w:rPr>
          <w:rFonts w:ascii="Arial" w:cs="Arial" w:eastAsia="Arial" w:hAnsi="Arial"/>
          <w:b w:val="false"/>
          <w:bCs w:val="false"/>
          <w:i w:val="false"/>
          <w:iCs w:val="false"/>
          <w:sz w:val="22"/>
          <w:szCs w:val="22"/>
        </w:rPr>
        <w:t xml:space="preserve">T82 fires on writes to self-improvement infrastructure with adversarial content. METACOGNITIVE_POISON_CHAIN campaign (0.95) detects the two-step attack: memory injection followed by pipeline write.</w:t>
      </w:r>
    </w:p>
    <w:p>
      <w:pPr>
        <w:pStyle w:val="Heading2"/>
        <w:spacing w:after="120" w:before="240"/>
      </w:pPr>
      <w:r>
        <w:rPr>
          <w:rFonts w:ascii="Arial" w:cs="Arial" w:eastAsia="Arial" w:hAnsi="Arial"/>
          <w:b/>
          <w:bCs/>
          <w:color w:val="1a1a1a"/>
          <w:sz w:val="26"/>
          <w:szCs w:val="26"/>
        </w:rPr>
        <w:t xml:space="preserve">Phase-Gated Delegation</w:t>
      </w:r>
    </w:p>
    <w:p>
      <w:pPr>
        <w:spacing w:after="120" w:before="0" w:line="276"/>
      </w:pPr>
      <w:r>
        <w:rPr>
          <w:rFonts w:ascii="Arial" w:cs="Arial" w:eastAsia="Arial" w:hAnsi="Arial"/>
          <w:b w:val="false"/>
          <w:bCs w:val="false"/>
          <w:i w:val="false"/>
          <w:iCs w:val="false"/>
          <w:sz w:val="22"/>
          <w:szCs w:val="22"/>
        </w:rPr>
        <w:t xml:space="preserve">5-phase progressive delegation. P1: observe only. P2: low-risk auto-approve. P3: content autonomy. P4: site operations. P5: self-evolution. Each phase unlock recorded with timestamp + operator identity in the signed artifact.</w:t>
      </w:r>
    </w:p>
    <w:p>
      <w:r>
        <w:br w:type="page"/>
      </w:r>
    </w:p>
    <w:p>
      <w:pPr>
        <w:pStyle w:val="Heading1"/>
        <w:spacing w:after="120" w:before="360"/>
      </w:pPr>
      <w:r>
        <w:rPr>
          <w:rFonts w:ascii="Arial" w:cs="Arial" w:eastAsia="Arial" w:hAnsi="Arial"/>
          <w:b/>
          <w:bCs/>
          <w:color w:val="1a1a1a"/>
          <w:sz w:val="32"/>
          <w:szCs w:val="32"/>
        </w:rPr>
        <w:t xml:space="preserve">aiglos launch: OpenClaw Production-Ready in 5 Minutes</w:t>
      </w:r>
    </w:p>
    <w:p>
      <w:pPr>
        <w:spacing w:after="120" w:before="0" w:line="276"/>
      </w:pPr>
      <w:r>
        <w:rPr>
          <w:rFonts w:ascii="Arial" w:cs="Arial" w:eastAsia="Arial" w:hAnsi="Arial"/>
          <w:b w:val="false"/>
          <w:bCs w:val="false"/>
          <w:i w:val="false"/>
          <w:iCs w:val="false"/>
          <w:sz w:val="22"/>
          <w:szCs w:val="22"/>
        </w:rPr>
        <w:t xml:space="preserve">The second GTM. The answer to the "default OpenClaw is useless" problem.</w:t>
      </w:r>
    </w:p>
    <w:p>
      <w:pPr>
        <w:spacing w:after="40"/>
      </w:pPr>
    </w:p>
    <w:p>
      <w:pPr>
        <w:spacing w:after="60" w:before="60"/>
        <w:ind w:left="360"/>
      </w:pPr>
      <w:r>
        <w:rPr>
          <w:rFonts w:ascii="Courier New" w:cs="Courier New" w:eastAsia="Courier New" w:hAnsi="Courier New"/>
          <w:color w:val="333333"/>
          <w:sz w:val="18"/>
          <w:szCs w:val="18"/>
        </w:rPr>
        <w:t xml:space="preserve">pip install aiglos &amp;&amp; aiglos launch</w:t>
      </w:r>
    </w:p>
    <w:p>
      <w:pPr>
        <w:spacing w:after="40"/>
      </w:pPr>
    </w:p>
    <w:p>
      <w:pPr>
        <w:spacing w:after="120" w:before="0" w:line="276"/>
      </w:pPr>
      <w:r>
        <w:rPr>
          <w:rFonts w:ascii="Arial" w:cs="Arial" w:eastAsia="Arial" w:hAnsi="Arial"/>
          <w:b w:val="false"/>
          <w:bCs w:val="false"/>
          <w:i w:val="false"/>
          <w:iCs w:val="false"/>
          <w:sz w:val="22"/>
          <w:szCs w:val="22"/>
        </w:rPr>
        <w:t xml:space="preserve">Five questions about what you want to build. Generates in 30 seconds: soul.md (hard rules, hard_bans pre-populated), learnings.md (mistake log, T79-protected), heartbeat.md (30-min cadence, T67 monitoring), crons.md (heavy task template), tools.md (declared tool surface, lockdown policy), agents.md (sub-agent declarations, T38 enforcement), config.py (ready-to-import guard, all 82 rules active).</w:t>
      </w:r>
    </w:p>
    <w:p>
      <w:pPr>
        <w:spacing w:after="60"/>
      </w:pPr>
    </w:p>
    <w:p>
      <w:pPr>
        <w:spacing w:after="120" w:before="0" w:line="276"/>
      </w:pPr>
      <w:r>
        <w:rPr>
          <w:rFonts w:ascii="Arial" w:cs="Arial" w:eastAsia="Arial" w:hAnsi="Arial"/>
          <w:b w:val="false"/>
          <w:bCs w:val="false"/>
          <w:i w:val="false"/>
          <w:iCs w:val="false"/>
          <w:sz w:val="22"/>
          <w:szCs w:val="22"/>
        </w:rPr>
        <w:t xml:space="preserve">Non-interactive: aiglos launch --from "Research AI news and post to Twitter"</w:t>
      </w:r>
    </w:p>
    <w:p>
      <w:pPr>
        <w:spacing w:after="120" w:before="0" w:line="276"/>
      </w:pPr>
      <w:r>
        <w:rPr>
          <w:rFonts w:ascii="Arial" w:cs="Arial" w:eastAsia="Arial" w:hAnsi="Arial"/>
          <w:b w:val="false"/>
          <w:bCs w:val="false"/>
          <w:i w:val="false"/>
          <w:iCs w:val="false"/>
          <w:sz w:val="22"/>
          <w:szCs w:val="22"/>
        </w:rPr>
        <w:t xml:space="preserve">Sub-agent scaffold: aiglos agents scaffold takes plain English and produces declare_subagent() calls.</w:t>
      </w:r>
    </w:p>
    <w:p>
      <w:r>
        <w:br w:type="page"/>
      </w:r>
    </w:p>
    <w:p>
      <w:pPr>
        <w:pStyle w:val="Heading1"/>
        <w:spacing w:after="120" w:before="360"/>
      </w:pPr>
      <w:r>
        <w:rPr>
          <w:rFonts w:ascii="Arial" w:cs="Arial" w:eastAsia="Arial" w:hAnsi="Arial"/>
          <w:b/>
          <w:bCs/>
          <w:color w:val="1a1a1a"/>
          <w:sz w:val="32"/>
          <w:szCs w:val="32"/>
        </w:rPr>
        <w:t xml:space="preserve">Governance and Benchmarking</w:t>
      </w:r>
    </w:p>
    <w:p>
      <w:pPr>
        <w:pStyle w:val="Heading2"/>
        <w:spacing w:after="120" w:before="240"/>
      </w:pPr>
      <w:r>
        <w:rPr>
          <w:rFonts w:ascii="Arial" w:cs="Arial" w:eastAsia="Arial" w:hAnsi="Arial"/>
          <w:b/>
          <w:bCs/>
          <w:color w:val="1a1a1a"/>
          <w:sz w:val="26"/>
          <w:szCs w:val="26"/>
        </w:rPr>
        <w:t xml:space="preserve">GOVBENCH</w:t>
      </w:r>
    </w:p>
    <w:p>
      <w:pPr>
        <w:spacing w:after="120" w:before="0" w:line="276"/>
      </w:pPr>
      <w:r>
        <w:rPr>
          <w:rFonts w:ascii="Arial" w:cs="Arial" w:eastAsia="Arial" w:hAnsi="Arial"/>
          <w:b w:val="false"/>
          <w:bCs w:val="false"/>
          <w:i w:val="false"/>
          <w:iCs w:val="false"/>
          <w:sz w:val="22"/>
          <w:szCs w:val="22"/>
        </w:rPr>
        <w:t xml:space="preserve">The first governance benchmark for AI agents. 5 dimensions, 20 scenarios, A-F grade, under 60 seconds.</w:t>
      </w:r>
    </w:p>
    <w:p>
      <w:pPr>
        <w:spacing w:after="40"/>
      </w:pPr>
    </w:p>
    <w:p>
      <w:pPr>
        <w:spacing w:after="60" w:before="60"/>
        <w:ind w:left="360"/>
      </w:pPr>
      <w:r>
        <w:rPr>
          <w:rFonts w:ascii="Courier New" w:cs="Courier New" w:eastAsia="Courier New" w:hAnsi="Courier New"/>
          <w:color w:val="333333"/>
          <w:sz w:val="18"/>
          <w:szCs w:val="18"/>
        </w:rPr>
        <w:t xml:space="preserve">aiglos benchmark run</w:t>
      </w:r>
    </w:p>
    <w:p>
      <w:pPr>
        <w:spacing w:after="60" w:before="60"/>
        <w:ind w:left="360"/>
      </w:pPr>
      <w:r>
        <w:rPr>
          <w:rFonts w:ascii="Courier New" w:cs="Courier New" w:eastAsia="Courier New" w:hAnsi="Courier New"/>
          <w:color w:val="333333"/>
          <w:sz w:val="18"/>
          <w:szCs w:val="18"/>
        </w:rPr>
        <w:t xml:space="preserve"># Grade: A (92/100)</w:t>
      </w:r>
    </w:p>
    <w:p>
      <w:pPr>
        <w:spacing w:after="60" w:before="60"/>
        <w:ind w:left="360"/>
      </w:pPr>
      <w:r>
        <w:rPr>
          <w:rFonts w:ascii="Courier New" w:cs="Courier New" w:eastAsia="Courier New" w:hAnsi="Courier New"/>
          <w:color w:val="333333"/>
          <w:sz w:val="18"/>
          <w:szCs w:val="18"/>
        </w:rPr>
        <w:t xml:space="preserve"># D1 Campaign detection: 19/20</w:t>
      </w:r>
    </w:p>
    <w:p>
      <w:pPr>
        <w:spacing w:after="60" w:before="60"/>
        <w:ind w:left="360"/>
      </w:pPr>
      <w:r>
        <w:rPr>
          <w:rFonts w:ascii="Courier New" w:cs="Courier New" w:eastAsia="Courier New" w:hAnsi="Courier New"/>
          <w:color w:val="333333"/>
          <w:sz w:val="18"/>
          <w:szCs w:val="18"/>
        </w:rPr>
        <w:t xml:space="preserve"># D2 Agent definition resistance: 20/20</w:t>
      </w:r>
    </w:p>
    <w:p>
      <w:pPr>
        <w:spacing w:after="60" w:before="60"/>
        <w:ind w:left="360"/>
      </w:pPr>
      <w:r>
        <w:rPr>
          <w:rFonts w:ascii="Courier New" w:cs="Courier New" w:eastAsia="Courier New" w:hAnsi="Courier New"/>
          <w:color w:val="333333"/>
          <w:sz w:val="18"/>
          <w:szCs w:val="18"/>
        </w:rPr>
        <w:t xml:space="preserve"># D3 Memory belief integrity: 18/20</w:t>
      </w:r>
    </w:p>
    <w:p>
      <w:pPr>
        <w:spacing w:after="60" w:before="60"/>
        <w:ind w:left="360"/>
      </w:pPr>
      <w:r>
        <w:rPr>
          <w:rFonts w:ascii="Courier New" w:cs="Courier New" w:eastAsia="Courier New" w:hAnsi="Courier New"/>
          <w:color w:val="333333"/>
          <w:sz w:val="18"/>
          <w:szCs w:val="18"/>
        </w:rPr>
        <w:t xml:space="preserve"># D4 RL feedback loop resistance: 18/20</w:t>
      </w:r>
    </w:p>
    <w:p>
      <w:pPr>
        <w:spacing w:after="60" w:before="60"/>
        <w:ind w:left="360"/>
      </w:pPr>
      <w:r>
        <w:rPr>
          <w:rFonts w:ascii="Courier New" w:cs="Courier New" w:eastAsia="Courier New" w:hAnsi="Courier New"/>
          <w:color w:val="333333"/>
          <w:sz w:val="18"/>
          <w:szCs w:val="18"/>
        </w:rPr>
        <w:t xml:space="preserve"># D5 Multi-agent cascading failure: 17/20</w:t>
      </w:r>
    </w:p>
    <w:p>
      <w:pPr>
        <w:spacing w:after="60"/>
      </w:pPr>
    </w:p>
    <w:p>
      <w:pPr>
        <w:pStyle w:val="Heading2"/>
        <w:spacing w:after="120" w:before="240"/>
      </w:pPr>
      <w:r>
        <w:rPr>
          <w:rFonts w:ascii="Arial" w:cs="Arial" w:eastAsia="Arial" w:hAnsi="Arial"/>
          <w:b/>
          <w:bCs/>
          <w:color w:val="1a1a1a"/>
          <w:sz w:val="26"/>
          <w:szCs w:val="26"/>
        </w:rPr>
        <w:t xml:space="preserve">GHSA Watcher</w:t>
      </w:r>
    </w:p>
    <w:p>
      <w:pPr>
        <w:spacing w:after="120" w:before="0" w:line="276"/>
      </w:pPr>
      <w:r>
        <w:rPr>
          <w:rFonts w:ascii="Arial" w:cs="Arial" w:eastAsia="Arial" w:hAnsi="Arial"/>
          <w:b w:val="false"/>
          <w:bCs w:val="false"/>
          <w:i w:val="false"/>
          <w:iCs w:val="false"/>
          <w:sz w:val="22"/>
          <w:szCs w:val="22"/>
        </w:rPr>
        <w:t xml:space="preserve">Monitors OSV.dev, NVD, GitHub Advisory API, OpenClaw CVE feed, HuggingFace Spaces, and PyPI release feed. Matches new advisories to T-rules within 6 hours of publication.</w:t>
      </w:r>
    </w:p>
    <w:p>
      <w:pPr>
        <w:spacing w:after="40"/>
      </w:pPr>
    </w:p>
    <w:p>
      <w:pPr>
        <w:spacing w:after="120" w:before="0" w:line="276"/>
      </w:pPr>
      <w:r>
        <w:rPr>
          <w:rFonts w:ascii="Arial" w:cs="Arial" w:eastAsia="Arial" w:hAnsi="Arial"/>
          <w:b/>
          <w:bCs/>
          <w:i w:val="false"/>
          <w:iCs w:val="false"/>
          <w:sz w:val="22"/>
          <w:szCs w:val="22"/>
        </w:rPr>
        <w:t xml:space="preserve">3/3 published OpenClaw GHSAs covered by rules that existed before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800"/>
        <w:gridCol w:w="1800"/>
        <w:gridCol w:w="1860"/>
      </w:tblGrid>
      <w:tr>
        <w:tc>
          <w:tcPr>
            <w:tcW w:type="dxa" w:w="22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GHSA</w:t>
            </w:r>
          </w:p>
        </w:tc>
        <w:tc>
          <w:tcPr>
            <w:tcW w:type="dxa" w:w="7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CVSS</w:t>
            </w:r>
          </w:p>
        </w:tc>
        <w:tc>
          <w:tcPr>
            <w:tcW w:type="dxa" w:w="28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Attack</w:t>
            </w:r>
          </w:p>
        </w:tc>
        <w:tc>
          <w:tcPr>
            <w:tcW w:type="dxa" w:w="18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Rules</w:t>
            </w:r>
          </w:p>
        </w:tc>
        <w:tc>
          <w:tcPr>
            <w:tcW w:type="dxa" w:w="186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Reporter</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GHSA-g8p2-7wf7-98mq</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8.8</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Auth token exfil via gatewayUrl</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T03 T12 T19 T68</w:t>
            </w:r>
          </w:p>
        </w:tc>
        <w:tc>
          <w:tcPr>
            <w:tcW w:type="dxa" w:w="18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OpenClaw team</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GHSA-q284-4pvr-m585</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OS command injection via path traversal</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T03 T04 T70</w:t>
            </w:r>
          </w:p>
        </w:tc>
        <w:tc>
          <w:tcPr>
            <w:tcW w:type="dxa" w:w="18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mitsuhiko (Flask)</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GHSA-mc68-q9jw-2h3v</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Command injection via PATH env variable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T03 T70</w:t>
            </w:r>
          </w:p>
        </w:tc>
        <w:tc>
          <w:tcPr>
            <w:tcW w:type="dxa" w:w="18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OpenClaw team</w:t>
            </w:r>
          </w:p>
        </w:tc>
      </w:tr>
    </w:tbl>
    <w:p>
      <w:pPr>
        <w:spacing w:after="60"/>
      </w:pPr>
    </w:p>
    <w:p>
      <w:pPr>
        <w:pStyle w:val="Heading2"/>
        <w:spacing w:after="120" w:before="240"/>
      </w:pPr>
      <w:r>
        <w:rPr>
          <w:rFonts w:ascii="Arial" w:cs="Arial" w:eastAsia="Arial" w:hAnsi="Arial"/>
          <w:b/>
          <w:bCs/>
          <w:color w:val="1a1a1a"/>
          <w:sz w:val="26"/>
          <w:szCs w:val="26"/>
        </w:rPr>
        <w:t xml:space="preserve">Dependency Scanning</w:t>
      </w:r>
    </w:p>
    <w:p>
      <w:pPr>
        <w:spacing w:after="120" w:before="0" w:line="276"/>
      </w:pPr>
      <w:r>
        <w:rPr>
          <w:rFonts w:ascii="Arial" w:cs="Arial" w:eastAsia="Arial" w:hAnsi="Arial"/>
          <w:b w:val="false"/>
          <w:bCs w:val="false"/>
          <w:i w:val="false"/>
          <w:iCs w:val="false"/>
          <w:sz w:val="22"/>
          <w:szCs w:val="22"/>
        </w:rPr>
        <w:t xml:space="preserve">aiglos scan-deps checks installed packages against the COMPROMISED_PACKAGES registry (litellm 1.82.7/1.82.8 as first entries), scans site-packages for .pth files with suspicious content, checks persistence directories, uv cache for compromised wheels, and transitive exposure across dspy, smolagents, LangChain, LangGraph, CrewAI. Exits non-zero for CI integration.</w:t>
      </w:r>
    </w:p>
    <w:p>
      <w:pPr>
        <w:spacing w:after="40"/>
      </w:pPr>
    </w:p>
    <w:p>
      <w:pPr>
        <w:spacing w:after="120" w:before="0" w:line="276"/>
      </w:pPr>
      <w:r>
        <w:rPr>
          <w:rFonts w:ascii="Arial" w:cs="Arial" w:eastAsia="Arial" w:hAnsi="Arial"/>
          <w:b w:val="false"/>
          <w:bCs w:val="false"/>
          <w:i w:val="false"/>
          <w:iCs w:val="false"/>
          <w:sz w:val="22"/>
          <w:szCs w:val="22"/>
        </w:rPr>
        <w:t xml:space="preserve">aiglos validate-prompt scores soul.md or any skill file across 8 dimensions: specificity, hard bans, process encoding, context declarations, verification gates, ambiguous scope terms, security integration, role/identity definition. Scores 0-100, grades A-F.</w:t>
      </w:r>
    </w:p>
    <w:p>
      <w:pPr>
        <w:spacing w:after="60"/>
      </w:pPr>
    </w:p>
    <w:p>
      <w:pPr>
        <w:pStyle w:val="Heading2"/>
        <w:spacing w:after="120" w:before="240"/>
      </w:pPr>
      <w:r>
        <w:rPr>
          <w:rFonts w:ascii="Arial" w:cs="Arial" w:eastAsia="Arial" w:hAnsi="Arial"/>
          <w:b/>
          <w:bCs/>
          <w:color w:val="1a1a1a"/>
          <w:sz w:val="26"/>
          <w:szCs w:val="26"/>
        </w:rPr>
        <w:t xml:space="preserve">ATLAS Coverage</w:t>
      </w:r>
    </w:p>
    <w:p>
      <w:pPr>
        <w:spacing w:after="120" w:before="0" w:line="276"/>
      </w:pPr>
      <w:r>
        <w:rPr>
          <w:rFonts w:ascii="Arial" w:cs="Arial" w:eastAsia="Arial" w:hAnsi="Arial"/>
          <w:b w:val="false"/>
          <w:bCs w:val="false"/>
          <w:i w:val="false"/>
          <w:iCs w:val="false"/>
          <w:sz w:val="22"/>
          <w:szCs w:val="22"/>
        </w:rPr>
        <w:t xml:space="preserve">22 threats mapped, 19 full, 3 partial, 0 gaps. 93% coverage. The three partial cases are architecturally honest: passive fingerprinting, adversarial ML evasion, and semantically-appropriate-but-harmful content have no reliable behavioral signature at the tool call layer.</w:t>
      </w:r>
    </w:p>
    <w:p>
      <w:r>
        <w:br w:type="page"/>
      </w:r>
    </w:p>
    <w:p>
      <w:pPr>
        <w:pStyle w:val="Heading1"/>
        <w:spacing w:after="120" w:before="360"/>
      </w:pPr>
      <w:r>
        <w:rPr>
          <w:rFonts w:ascii="Arial" w:cs="Arial" w:eastAsia="Arial" w:hAnsi="Arial"/>
          <w:b/>
          <w:bCs/>
          <w:color w:val="1a1a1a"/>
          <w:sz w:val="32"/>
          <w:szCs w:val="32"/>
        </w:rPr>
        <w:t xml:space="preserve">Intelligence Layers</w:t>
      </w:r>
    </w:p>
    <w:p>
      <w:pPr>
        <w:pStyle w:val="Heading2"/>
        <w:spacing w:after="120" w:before="240"/>
      </w:pPr>
      <w:r>
        <w:rPr>
          <w:rFonts w:ascii="Arial" w:cs="Arial" w:eastAsia="Arial" w:hAnsi="Arial"/>
          <w:b/>
          <w:bCs/>
          <w:color w:val="1a1a1a"/>
          <w:sz w:val="26"/>
          <w:szCs w:val="26"/>
        </w:rPr>
        <w:t xml:space="preserve">Behavioral Baseline</w:t>
      </w:r>
    </w:p>
    <w:p>
      <w:pPr>
        <w:spacing w:after="120" w:before="0" w:line="276"/>
      </w:pPr>
      <w:r>
        <w:rPr>
          <w:rFonts w:ascii="Arial" w:cs="Arial" w:eastAsia="Arial" w:hAnsi="Arial"/>
          <w:b w:val="false"/>
          <w:bCs w:val="false"/>
          <w:i w:val="false"/>
          <w:iCs w:val="false"/>
          <w:sz w:val="22"/>
          <w:szCs w:val="22"/>
        </w:rPr>
        <w:t xml:space="preserve">Per-agent statistical fingerprinting across three independent feature spaces: event rate (z-score against rolling session history), surface mix (chi-squared test on MCP/HTTP/subprocess call distribution), rule frequency (KL-divergence from historical rule firing pattern). BEHAVIORAL_ANOMALY trigger fires when composite deviation exceeds threshold.</w:t>
      </w:r>
    </w:p>
    <w:p>
      <w:pPr>
        <w:spacing w:after="60"/>
      </w:pPr>
    </w:p>
    <w:p>
      <w:pPr>
        <w:pStyle w:val="Heading2"/>
        <w:spacing w:after="120" w:before="240"/>
      </w:pPr>
      <w:r>
        <w:rPr>
          <w:rFonts w:ascii="Arial" w:cs="Arial" w:eastAsia="Arial" w:hAnsi="Arial"/>
          <w:b/>
          <w:bCs/>
          <w:color w:val="1a1a1a"/>
          <w:sz w:val="26"/>
          <w:szCs w:val="26"/>
        </w:rPr>
        <w:t xml:space="preserve">Predictive Intent Modeling</w:t>
      </w:r>
    </w:p>
    <w:p>
      <w:pPr>
        <w:spacing w:after="120" w:before="0" w:line="276"/>
      </w:pPr>
      <w:r>
        <w:rPr>
          <w:rFonts w:ascii="Arial" w:cs="Arial" w:eastAsia="Arial" w:hAnsi="Arial"/>
          <w:b w:val="false"/>
          <w:bCs w:val="false"/>
          <w:i w:val="false"/>
          <w:iCs w:val="false"/>
          <w:sz w:val="22"/>
          <w:szCs w:val="22"/>
        </w:rPr>
        <w:t xml:space="preserve">Deployment-specific Markov chain trained on local call history. No external ML dependency. IntentPredictor builds transition probability matrix. SessionForecaster pre-tightens effective_tier() when predicted next action is Tier 2 or 3. THREAT_FORECAST_ALERT fires before the threat executes.</w:t>
      </w:r>
    </w:p>
    <w:p>
      <w:pPr>
        <w:spacing w:after="60"/>
      </w:pPr>
    </w:p>
    <w:p>
      <w:pPr>
        <w:pStyle w:val="Heading2"/>
        <w:spacing w:after="120" w:before="240"/>
      </w:pPr>
      <w:r>
        <w:rPr>
          <w:rFonts w:ascii="Arial" w:cs="Arial" w:eastAsia="Arial" w:hAnsi="Arial"/>
          <w:b/>
          <w:bCs/>
          <w:color w:val="1a1a1a"/>
          <w:sz w:val="26"/>
          <w:szCs w:val="26"/>
        </w:rPr>
        <w:t xml:space="preserve">Federated Threat Intelligence</w:t>
      </w:r>
    </w:p>
    <w:p>
      <w:pPr>
        <w:spacing w:after="120" w:before="0" w:line="276"/>
      </w:pPr>
      <w:r>
        <w:rPr>
          <w:rFonts w:ascii="Arial" w:cs="Arial" w:eastAsia="Arial" w:hAnsi="Arial"/>
          <w:b w:val="false"/>
          <w:bCs w:val="false"/>
          <w:i w:val="false"/>
          <w:iCs w:val="false"/>
          <w:sz w:val="22"/>
          <w:szCs w:val="22"/>
        </w:rPr>
        <w:t xml:space="preserve">Privacy-preserving global threat intelligence. Differential privacy with Laplace mechanism (epsilon=0.1). Only noisy unigram transition counts over the 82-element rule vocabulary leave a deployment. Raw events, tool names, URLs, agent names, session IDs, content never leave. Pull-only is free; contributing requires Pro tier.</w:t>
      </w:r>
    </w:p>
    <w:p>
      <w:pPr>
        <w:spacing w:after="60"/>
      </w:pPr>
    </w:p>
    <w:p>
      <w:pPr>
        <w:pStyle w:val="Heading2"/>
        <w:spacing w:after="120" w:before="240"/>
      </w:pPr>
      <w:r>
        <w:rPr>
          <w:rFonts w:ascii="Arial" w:cs="Arial" w:eastAsia="Arial" w:hAnsi="Arial"/>
          <w:b/>
          <w:bCs/>
          <w:color w:val="1a1a1a"/>
          <w:sz w:val="26"/>
          <w:szCs w:val="26"/>
        </w:rPr>
        <w:t xml:space="preserve">Source Reputation</w:t>
      </w:r>
    </w:p>
    <w:p>
      <w:pPr>
        <w:spacing w:after="120" w:before="0" w:line="276"/>
      </w:pPr>
      <w:r>
        <w:rPr>
          <w:rFonts w:ascii="Arial" w:cs="Arial" w:eastAsia="Arial" w:hAnsi="Arial"/>
          <w:b w:val="false"/>
          <w:bCs w:val="false"/>
          <w:i w:val="false"/>
          <w:iCs w:val="false"/>
          <w:sz w:val="22"/>
          <w:szCs w:val="22"/>
        </w:rPr>
        <w:t xml:space="preserve">Inbound data sources scored against a reputation index. Sources that previously triggered injection rules receive elevated inspection in future sessions, across deployments when federation is enabled.</w:t>
      </w:r>
    </w:p>
    <w:p>
      <w:r>
        <w:br w:type="page"/>
      </w:r>
    </w:p>
    <w:p>
      <w:pPr>
        <w:pStyle w:val="Heading1"/>
        <w:spacing w:after="120" w:before="360"/>
      </w:pPr>
      <w:r>
        <w:rPr>
          <w:rFonts w:ascii="Arial" w:cs="Arial" w:eastAsia="Arial" w:hAnsi="Arial"/>
          <w:b/>
          <w:bCs/>
          <w:color w:val="1a1a1a"/>
          <w:sz w:val="32"/>
          <w:szCs w:val="32"/>
        </w:rPr>
        <w:t xml:space="preserve">Compliance and Attestation</w:t>
      </w:r>
    </w:p>
    <w:p>
      <w:pPr>
        <w:pStyle w:val="Heading2"/>
        <w:spacing w:after="120" w:before="240"/>
      </w:pPr>
      <w:r>
        <w:rPr>
          <w:rFonts w:ascii="Arial" w:cs="Arial" w:eastAsia="Arial" w:hAnsi="Arial"/>
          <w:b/>
          <w:bCs/>
          <w:color w:val="1a1a1a"/>
          <w:sz w:val="26"/>
          <w:szCs w:val="26"/>
        </w:rPr>
        <w:t xml:space="preserve">Session Artifact</w:t>
      </w:r>
    </w:p>
    <w:p>
      <w:pPr>
        <w:spacing w:after="120" w:before="0" w:line="276"/>
      </w:pPr>
      <w:r>
        <w:rPr>
          <w:rFonts w:ascii="Arial" w:cs="Arial" w:eastAsia="Arial" w:hAnsi="Arial"/>
          <w:b w:val="false"/>
          <w:bCs w:val="false"/>
          <w:i w:val="false"/>
          <w:iCs w:val="false"/>
          <w:sz w:val="22"/>
          <w:szCs w:val="22"/>
        </w:rPr>
        <w:t xml:space="preserve">Every session close produces a cryptographically signed audit record. Free tier: HMAC-SHA256. Pro/Enterprise: RSA-2048 (required for C3PAO submission). Tamper-evident. .aiglos format for archival.</w:t>
      </w:r>
    </w:p>
    <w:p>
      <w:pPr>
        <w:spacing w:after="40"/>
      </w:pPr>
    </w:p>
    <w:p>
      <w:pPr>
        <w:spacing w:after="60" w:before="60"/>
        <w:ind w:left="360"/>
      </w:pPr>
      <w:r>
        <w:rPr>
          <w:rFonts w:ascii="Courier New" w:cs="Courier New" w:eastAsia="Courier New" w:hAnsi="Courier New"/>
          <w:color w:val="333333"/>
          <w:sz w:val="18"/>
          <w:szCs w:val="18"/>
        </w:rPr>
        <w:t xml:space="preserve">{ "schema": "aiglos/v1", "artifact_id": "3f9a1c2d-...",</w:t>
      </w:r>
    </w:p>
    <w:p>
      <w:pPr>
        <w:spacing w:after="60" w:before="60"/>
        <w:ind w:left="360"/>
      </w:pPr>
      <w:r>
        <w:rPr>
          <w:rFonts w:ascii="Courier New" w:cs="Courier New" w:eastAsia="Courier New" w:hAnsi="Courier New"/>
          <w:color w:val="333333"/>
          <w:sz w:val="18"/>
          <w:szCs w:val="18"/>
        </w:rPr>
        <w:t xml:space="preserve">  "agent_name": "my-agent", "policy": "federal",</w:t>
      </w:r>
    </w:p>
    <w:p>
      <w:pPr>
        <w:spacing w:after="60" w:before="60"/>
        <w:ind w:left="360"/>
      </w:pPr>
      <w:r>
        <w:rPr>
          <w:rFonts w:ascii="Courier New" w:cs="Courier New" w:eastAsia="Courier New" w:hAnsi="Courier New"/>
          <w:color w:val="333333"/>
          <w:sz w:val="18"/>
          <w:szCs w:val="18"/>
        </w:rPr>
        <w:t xml:space="preserve">  "total_calls": 247, "blocked_calls": 4, "warned_calls": 2,</w:t>
      </w:r>
    </w:p>
    <w:p>
      <w:pPr>
        <w:spacing w:after="60" w:before="60"/>
        <w:ind w:left="360"/>
      </w:pPr>
      <w:r>
        <w:rPr>
          <w:rFonts w:ascii="Courier New" w:cs="Courier New" w:eastAsia="Courier New" w:hAnsi="Courier New"/>
          <w:color w:val="333333"/>
          <w:sz w:val="18"/>
          <w:szCs w:val="18"/>
        </w:rPr>
        <w:t xml:space="preserve">  "attestation_ready": true,</w:t>
      </w:r>
    </w:p>
    <w:p>
      <w:pPr>
        <w:spacing w:after="60" w:before="60"/>
        <w:ind w:left="360"/>
      </w:pPr>
      <w:r>
        <w:rPr>
          <w:rFonts w:ascii="Courier New" w:cs="Courier New" w:eastAsia="Courier New" w:hAnsi="Courier New"/>
          <w:color w:val="333333"/>
          <w:sz w:val="18"/>
          <w:szCs w:val="18"/>
        </w:rPr>
        <w:t xml:space="preserve">  "memory_backends": [{"backend": "gigabrain", "paths": ["~/.gigabrain/memory.db"]}],</w:t>
      </w:r>
    </w:p>
    <w:p>
      <w:pPr>
        <w:spacing w:after="60" w:before="60"/>
        <w:ind w:left="360"/>
      </w:pPr>
      <w:r>
        <w:rPr>
          <w:rFonts w:ascii="Courier New" w:cs="Courier New" w:eastAsia="Courier New" w:hAnsi="Courier New"/>
          <w:color w:val="333333"/>
          <w:sz w:val="18"/>
          <w:szCs w:val="18"/>
        </w:rPr>
        <w:t xml:space="preserve">  "subagent_registry": [{"name": "coding-agent", "hard_bans": ["fabricate_data"]}],</w:t>
      </w:r>
    </w:p>
    <w:p>
      <w:pPr>
        <w:spacing w:after="60" w:before="60"/>
        <w:ind w:left="360"/>
      </w:pPr>
      <w:r>
        <w:rPr>
          <w:rFonts w:ascii="Courier New" w:cs="Courier New" w:eastAsia="Courier New" w:hAnsi="Courier New"/>
          <w:color w:val="333333"/>
          <w:sz w:val="18"/>
          <w:szCs w:val="18"/>
        </w:rPr>
        <w:t xml:space="preserve">  "signature": "sha256:a1b2c3d4..." }</w:t>
      </w:r>
    </w:p>
    <w:p>
      <w:pPr>
        <w:spacing w:after="60"/>
      </w:pPr>
    </w:p>
    <w:p>
      <w:pPr>
        <w:pStyle w:val="Heading2"/>
        <w:spacing w:after="120" w:before="240"/>
      </w:pPr>
      <w:r>
        <w:rPr>
          <w:rFonts w:ascii="Arial" w:cs="Arial" w:eastAsia="Arial" w:hAnsi="Arial"/>
          <w:b/>
          <w:bCs/>
          <w:color w:val="1a1a1a"/>
          <w:sz w:val="26"/>
          <w:szCs w:val="26"/>
        </w:rPr>
        <w:t xml:space="preserve">Compliance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Standard</w:t>
            </w:r>
          </w:p>
        </w:tc>
        <w:tc>
          <w:tcPr>
            <w:tcW w:type="dxa" w:w="22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Deadline</w:t>
            </w:r>
          </w:p>
        </w:tc>
        <w:tc>
          <w:tcPr>
            <w:tcW w:type="dxa" w:w="496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NDAA S1513 FY2026</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June 16, 2026</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attestation_ready: true auto-generated. Status report to Congress due. ~76,598 contractors need this.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CMMC Level 2</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Phase 2: Nov 10, 2026</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C3PAO-formatted evidence package. 8 controls mapped. 431 orgs certified of ~76,598 needed.</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NIST SP 800-171 Rev 2</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Ongoing</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18 controls across AC, AU, IA, SC, SI families.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EU AI Act</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August 2, 2026</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High-risk compliance. Digital Omnibus may delay Annex III to Dec 2027. Pro tier and above.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SOC 2 Type II</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Ongoing</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CC6, CC7 coverage.</w:t>
            </w:r>
          </w:p>
        </w:tc>
      </w:tr>
    </w:tbl>
    <w:p>
      <w:r>
        <w:br w:type="page"/>
      </w:r>
    </w:p>
    <w:p>
      <w:pPr>
        <w:pStyle w:val="Heading1"/>
        <w:spacing w:after="120" w:before="360"/>
      </w:pPr>
      <w:r>
        <w:rPr>
          <w:rFonts w:ascii="Arial" w:cs="Arial" w:eastAsia="Arial" w:hAnsi="Arial"/>
          <w:b/>
          <w:bCs/>
          <w:color w:val="1a1a1a"/>
          <w:sz w:val="32"/>
          <w:szCs w:val="32"/>
        </w:rPr>
        <w:t xml:space="preserve">CLI Reference</w:t>
      </w:r>
    </w:p>
    <w:p>
      <w:pPr>
        <w:spacing w:after="40"/>
      </w:pPr>
    </w:p>
    <w:p>
      <w:pPr>
        <w:spacing w:after="60" w:before="60"/>
        <w:ind w:left="360"/>
      </w:pPr>
      <w:r>
        <w:rPr>
          <w:rFonts w:ascii="Courier New" w:cs="Courier New" w:eastAsia="Courier New" w:hAnsi="Courier New"/>
          <w:color w:val="333333"/>
          <w:sz w:val="18"/>
          <w:szCs w:val="18"/>
        </w:rPr>
        <w:t xml:space="preserve"># Onboarding</w:t>
      </w:r>
    </w:p>
    <w:p>
      <w:pPr>
        <w:spacing w:after="60" w:before="60"/>
        <w:ind w:left="360"/>
      </w:pPr>
      <w:r>
        <w:rPr>
          <w:rFonts w:ascii="Courier New" w:cs="Courier New" w:eastAsia="Courier New" w:hAnsi="Courier New"/>
          <w:color w:val="333333"/>
          <w:sz w:val="18"/>
          <w:szCs w:val="18"/>
        </w:rPr>
        <w:t xml:space="preserve">aiglos launch                            # Production-ready in 5 minutes</w:t>
      </w:r>
    </w:p>
    <w:p>
      <w:pPr>
        <w:spacing w:after="60" w:before="60"/>
        <w:ind w:left="360"/>
      </w:pPr>
      <w:r>
        <w:rPr>
          <w:rFonts w:ascii="Courier New" w:cs="Courier New" w:eastAsia="Courier New" w:hAnsi="Courier New"/>
          <w:color w:val="333333"/>
          <w:sz w:val="18"/>
          <w:szCs w:val="18"/>
        </w:rPr>
        <w:t xml:space="preserve">aiglos launch --from "description"       # Non-interactive</w:t>
      </w:r>
    </w:p>
    <w:p>
      <w:pPr>
        <w:spacing w:after="60" w:before="60"/>
        <w:ind w:left="360"/>
      </w:pPr>
      <w:r>
        <w:rPr>
          <w:rFonts w:ascii="Courier New" w:cs="Courier New" w:eastAsia="Courier New" w:hAnsi="Courier New"/>
          <w:color w:val="333333"/>
          <w:sz w:val="18"/>
          <w:szCs w:val="18"/>
        </w:rPr>
        <w:t xml:space="preserve">aiglos agents scaffold                   # NL &gt; declare_subagent() calls</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Core</w:t>
      </w:r>
    </w:p>
    <w:p>
      <w:pPr>
        <w:spacing w:after="60" w:before="60"/>
        <w:ind w:left="360"/>
      </w:pPr>
      <w:r>
        <w:rPr>
          <w:rFonts w:ascii="Courier New" w:cs="Courier New" w:eastAsia="Courier New" w:hAnsi="Courier New"/>
          <w:color w:val="333333"/>
          <w:sz w:val="18"/>
          <w:szCs w:val="18"/>
        </w:rPr>
        <w:t xml:space="preserve">aiglos attach                            # Attach to running agent session</w:t>
      </w:r>
    </w:p>
    <w:p>
      <w:pPr>
        <w:spacing w:after="60" w:before="60"/>
        <w:ind w:left="360"/>
      </w:pPr>
      <w:r>
        <w:rPr>
          <w:rFonts w:ascii="Courier New" w:cs="Courier New" w:eastAsia="Courier New" w:hAnsi="Courier New"/>
          <w:color w:val="333333"/>
          <w:sz w:val="18"/>
          <w:szCs w:val="18"/>
        </w:rPr>
        <w:t xml:space="preserve">aiglos check &lt;tool&gt; &lt;args&gt;               # Manual check against all 82 rules</w:t>
      </w:r>
    </w:p>
    <w:p>
      <w:pPr>
        <w:spacing w:after="60" w:before="60"/>
        <w:ind w:left="360"/>
      </w:pPr>
      <w:r>
        <w:rPr>
          <w:rFonts w:ascii="Courier New" w:cs="Courier New" w:eastAsia="Courier New" w:hAnsi="Courier New"/>
          <w:color w:val="333333"/>
          <w:sz w:val="18"/>
          <w:szCs w:val="18"/>
        </w:rPr>
        <w:t xml:space="preserve">aiglos attest --session SESSION_ID       # Produce signed attestation</w:t>
      </w:r>
    </w:p>
    <w:p>
      <w:pPr>
        <w:spacing w:after="60" w:before="60"/>
        <w:ind w:left="360"/>
      </w:pPr>
      <w:r>
        <w:rPr>
          <w:rFonts w:ascii="Courier New" w:cs="Courier New" w:eastAsia="Courier New" w:hAnsi="Courier New"/>
          <w:color w:val="333333"/>
          <w:sz w:val="18"/>
          <w:szCs w:val="18"/>
        </w:rPr>
        <w:t xml:space="preserve">aiglos verify SESSION_ID.aiglos          # Verify artifact integrity</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Security</w:t>
      </w:r>
    </w:p>
    <w:p>
      <w:pPr>
        <w:spacing w:after="60" w:before="60"/>
        <w:ind w:left="360"/>
      </w:pPr>
      <w:r>
        <w:rPr>
          <w:rFonts w:ascii="Courier New" w:cs="Courier New" w:eastAsia="Courier New" w:hAnsi="Courier New"/>
          <w:color w:val="333333"/>
          <w:sz w:val="18"/>
          <w:szCs w:val="18"/>
        </w:rPr>
        <w:t xml:space="preserve">aiglos scan-deps                         # Check for compromised packages</w:t>
      </w:r>
    </w:p>
    <w:p>
      <w:pPr>
        <w:spacing w:after="60" w:before="60"/>
        <w:ind w:left="360"/>
      </w:pPr>
      <w:r>
        <w:rPr>
          <w:rFonts w:ascii="Courier New" w:cs="Courier New" w:eastAsia="Courier New" w:hAnsi="Courier New"/>
          <w:color w:val="333333"/>
          <w:sz w:val="18"/>
          <w:szCs w:val="18"/>
        </w:rPr>
        <w:t xml:space="preserve">aiglos scan-deps --quick                 # Known-bad versions only</w:t>
      </w:r>
    </w:p>
    <w:p>
      <w:pPr>
        <w:spacing w:after="60" w:before="60"/>
        <w:ind w:left="360"/>
      </w:pPr>
      <w:r>
        <w:rPr>
          <w:rFonts w:ascii="Courier New" w:cs="Courier New" w:eastAsia="Courier New" w:hAnsi="Courier New"/>
          <w:color w:val="333333"/>
          <w:sz w:val="18"/>
          <w:szCs w:val="18"/>
        </w:rPr>
        <w:t xml:space="preserve">aiglos validate-prompt soul.md           # Score a skill file</w:t>
      </w:r>
    </w:p>
    <w:p>
      <w:pPr>
        <w:spacing w:after="60" w:before="60"/>
        <w:ind w:left="360"/>
      </w:pPr>
      <w:r>
        <w:rPr>
          <w:rFonts w:ascii="Courier New" w:cs="Courier New" w:eastAsia="Courier New" w:hAnsi="Courier New"/>
          <w:color w:val="333333"/>
          <w:sz w:val="18"/>
          <w:szCs w:val="18"/>
        </w:rPr>
        <w:t xml:space="preserve">aiglos validate-prompt --all             # Score all .aiglos/*.md files</w:t>
      </w:r>
    </w:p>
    <w:p>
      <w:pPr>
        <w:spacing w:after="60" w:before="60"/>
        <w:ind w:left="360"/>
      </w:pPr>
      <w:r>
        <w:rPr>
          <w:rFonts w:ascii="Courier New" w:cs="Courier New" w:eastAsia="Courier New" w:hAnsi="Courier New"/>
          <w:color w:val="333333"/>
          <w:sz w:val="18"/>
          <w:szCs w:val="18"/>
        </w:rPr>
        <w:t xml:space="preserve">aiglos scan-exposed                      # CVE-2026-25253 exposure probe</w:t>
      </w:r>
    </w:p>
    <w:p>
      <w:pPr>
        <w:spacing w:after="60" w:before="60"/>
        <w:ind w:left="360"/>
      </w:pPr>
      <w:r>
        <w:rPr>
          <w:rFonts w:ascii="Courier New" w:cs="Courier New" w:eastAsia="Courier New" w:hAnsi="Courier New"/>
          <w:color w:val="333333"/>
          <w:sz w:val="18"/>
          <w:szCs w:val="18"/>
        </w:rPr>
        <w:t xml:space="preserve">aiglos audit --hardening-check           # Compare against hardened baseline</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Policy</w:t>
      </w:r>
    </w:p>
    <w:p>
      <w:pPr>
        <w:spacing w:after="60" w:before="60"/>
        <w:ind w:left="360"/>
      </w:pPr>
      <w:r>
        <w:rPr>
          <w:rFonts w:ascii="Courier New" w:cs="Courier New" w:eastAsia="Courier New" w:hAnsi="Courier New"/>
          <w:color w:val="333333"/>
          <w:sz w:val="18"/>
          <w:szCs w:val="18"/>
        </w:rPr>
        <w:t xml:space="preserve">aiglos policy list / approve / reject</w:t>
      </w:r>
    </w:p>
    <w:p>
      <w:pPr>
        <w:spacing w:after="60" w:before="60"/>
        <w:ind w:left="360"/>
      </w:pPr>
      <w:r>
        <w:rPr>
          <w:rFonts w:ascii="Courier New" w:cs="Courier New" w:eastAsia="Courier New" w:hAnsi="Courier New"/>
          <w:color w:val="333333"/>
          <w:sz w:val="18"/>
          <w:szCs w:val="18"/>
        </w:rPr>
        <w:t xml:space="preserve">aiglos policy lockdown                   # Deny-first mode</w:t>
      </w:r>
    </w:p>
    <w:p>
      <w:pPr>
        <w:spacing w:after="60" w:before="60"/>
        <w:ind w:left="360"/>
      </w:pPr>
      <w:r>
        <w:rPr>
          <w:rFonts w:ascii="Courier New" w:cs="Courier New" w:eastAsia="Courier New" w:hAnsi="Courier New"/>
          <w:color w:val="333333"/>
          <w:sz w:val="18"/>
          <w:szCs w:val="18"/>
        </w:rPr>
        <w:t xml:space="preserve">aiglos policy allow --tool web_search --authorized-by will@aiglos.dev</w:t>
      </w:r>
    </w:p>
    <w:p>
      <w:pPr>
        <w:spacing w:after="60" w:before="60"/>
        <w:ind w:left="360"/>
      </w:pPr>
      <w:r>
        <w:rPr>
          <w:rFonts w:ascii="Courier New" w:cs="Courier New" w:eastAsia="Courier New" w:hAnsi="Courier New"/>
          <w:color w:val="333333"/>
          <w:sz w:val="18"/>
          <w:szCs w:val="18"/>
        </w:rPr>
        <w:t xml:space="preserve">aiglos policy recommend                  # Min viable allowlist from history</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Memory</w:t>
      </w:r>
    </w:p>
    <w:p>
      <w:pPr>
        <w:spacing w:after="60" w:before="60"/>
        <w:ind w:left="360"/>
      </w:pPr>
      <w:r>
        <w:rPr>
          <w:rFonts w:ascii="Courier New" w:cs="Courier New" w:eastAsia="Courier New" w:hAnsi="Courier New"/>
          <w:color w:val="333333"/>
          <w:sz w:val="18"/>
          <w:szCs w:val="18"/>
        </w:rPr>
        <w:t xml:space="preserve">aiglos memory status</w:t>
      </w:r>
    </w:p>
    <w:p>
      <w:pPr>
        <w:spacing w:after="60" w:before="60"/>
        <w:ind w:left="360"/>
      </w:pPr>
      <w:r>
        <w:rPr>
          <w:rFonts w:ascii="Courier New" w:cs="Courier New" w:eastAsia="Courier New" w:hAnsi="Courier New"/>
          <w:color w:val="333333"/>
          <w:sz w:val="18"/>
          <w:szCs w:val="18"/>
        </w:rPr>
        <w:t xml:space="preserve">aiglos memory scan --backend gigabrain</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Intelligence</w:t>
      </w:r>
    </w:p>
    <w:p>
      <w:pPr>
        <w:spacing w:after="60" w:before="60"/>
        <w:ind w:left="360"/>
      </w:pPr>
      <w:r>
        <w:rPr>
          <w:rFonts w:ascii="Courier New" w:cs="Courier New" w:eastAsia="Courier New" w:hAnsi="Courier New"/>
          <w:color w:val="333333"/>
          <w:sz w:val="18"/>
          <w:szCs w:val="18"/>
        </w:rPr>
        <w:t xml:space="preserve">aiglos benchmark run                     # GOVBENCH A-F grade</w:t>
      </w:r>
    </w:p>
    <w:p>
      <w:pPr>
        <w:spacing w:after="60" w:before="60"/>
        <w:ind w:left="360"/>
      </w:pPr>
      <w:r>
        <w:rPr>
          <w:rFonts w:ascii="Courier New" w:cs="Courier New" w:eastAsia="Courier New" w:hAnsi="Courier New"/>
          <w:color w:val="333333"/>
          <w:sz w:val="18"/>
          <w:szCs w:val="18"/>
        </w:rPr>
        <w:t xml:space="preserve">aiglos forecast                          # Intent prediction state</w:t>
      </w:r>
    </w:p>
    <w:p>
      <w:pPr>
        <w:spacing w:after="60" w:before="60"/>
        <w:ind w:left="360"/>
      </w:pPr>
      <w:r>
        <w:rPr>
          <w:rFonts w:ascii="Courier New" w:cs="Courier New" w:eastAsia="Courier New" w:hAnsi="Courier New"/>
          <w:color w:val="333333"/>
          <w:sz w:val="18"/>
          <w:szCs w:val="18"/>
        </w:rPr>
        <w:t xml:space="preserve">aiglos autoresearch watch-ghsa           # GHSA watcher</w:t>
      </w:r>
    </w:p>
    <w:p>
      <w:pPr>
        <w:spacing w:after="60" w:before="60"/>
        <w:ind w:left="360"/>
      </w:pPr>
      <w:r>
        <w:rPr>
          <w:rFonts w:ascii="Courier New" w:cs="Courier New" w:eastAsia="Courier New" w:hAnsi="Courier New"/>
          <w:color w:val="333333"/>
          <w:sz w:val="18"/>
          <w:szCs w:val="18"/>
        </w:rPr>
        <w:t xml:space="preserve">aiglos autoresearch atlas-coverage       # ATLAS coverage report</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Integrations</w:t>
      </w:r>
    </w:p>
    <w:p>
      <w:pPr>
        <w:spacing w:after="60" w:before="60"/>
        <w:ind w:left="360"/>
      </w:pPr>
      <w:r>
        <w:rPr>
          <w:rFonts w:ascii="Courier New" w:cs="Courier New" w:eastAsia="Courier New" w:hAnsi="Courier New"/>
          <w:color w:val="333333"/>
          <w:sz w:val="18"/>
          <w:szCs w:val="18"/>
        </w:rPr>
        <w:t xml:space="preserve">aiglos nemoclaw validate --policy ~/.nemoclaw/policy.yaml</w:t>
      </w:r>
    </w:p>
    <w:p>
      <w:pPr>
        <w:spacing w:after="60" w:before="60"/>
        <w:ind w:left="360"/>
      </w:pPr>
      <w:r>
        <w:rPr>
          <w:rFonts w:ascii="Courier New" w:cs="Courier New" w:eastAsia="Courier New" w:hAnsi="Courier New"/>
          <w:color w:val="333333"/>
          <w:sz w:val="18"/>
          <w:szCs w:val="18"/>
        </w:rPr>
        <w:t xml:space="preserve">aiglos openShell detect</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Compliance</w:t>
      </w:r>
    </w:p>
    <w:p>
      <w:pPr>
        <w:spacing w:after="60" w:before="60"/>
        <w:ind w:left="360"/>
      </w:pPr>
      <w:r>
        <w:rPr>
          <w:rFonts w:ascii="Courier New" w:cs="Courier New" w:eastAsia="Courier New" w:hAnsi="Courier New"/>
          <w:color w:val="333333"/>
          <w:sz w:val="18"/>
          <w:szCs w:val="18"/>
        </w:rPr>
        <w:t xml:space="preserve">aiglos report --level 2                  # CMMC Level 2 summary</w:t>
      </w:r>
    </w:p>
    <w:p>
      <w:pPr>
        <w:spacing w:after="60" w:before="60"/>
        <w:ind w:left="360"/>
      </w:pPr>
      <w:r>
        <w:rPr>
          <w:rFonts w:ascii="Courier New" w:cs="Courier New" w:eastAsia="Courier New" w:hAnsi="Courier New"/>
          <w:color w:val="333333"/>
          <w:sz w:val="18"/>
          <w:szCs w:val="18"/>
        </w:rPr>
        <w:t xml:space="preserve">aiglos report --format json</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Daemon</w:t>
      </w:r>
    </w:p>
    <w:p>
      <w:pPr>
        <w:spacing w:after="60" w:before="60"/>
        <w:ind w:left="360"/>
      </w:pPr>
      <w:r>
        <w:rPr>
          <w:rFonts w:ascii="Courier New" w:cs="Courier New" w:eastAsia="Courier New" w:hAnsi="Courier New"/>
          <w:color w:val="333333"/>
          <w:sz w:val="18"/>
          <w:szCs w:val="18"/>
        </w:rPr>
        <w:t xml:space="preserve">aiglos daemon start / status / stop</w:t>
      </w:r>
    </w:p>
    <w:p>
      <w:r>
        <w:br w:type="page"/>
      </w:r>
    </w:p>
    <w:p>
      <w:pPr>
        <w:pStyle w:val="Heading1"/>
        <w:spacing w:after="120" w:before="360"/>
      </w:pPr>
      <w:r>
        <w:rPr>
          <w:rFonts w:ascii="Arial" w:cs="Arial" w:eastAsia="Arial" w:hAnsi="Arial"/>
          <w:b/>
          <w:bCs/>
          <w:color w:val="1a1a1a"/>
          <w:sz w:val="32"/>
          <w:szCs w:val="3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Tier</w:t>
            </w:r>
          </w:p>
        </w:tc>
        <w:tc>
          <w:tcPr>
            <w:tcW w:type="dxa" w:w="18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Price</w:t>
            </w:r>
          </w:p>
        </w:tc>
        <w:tc>
          <w:tcPr>
            <w:tcW w:type="dxa" w:w="576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What You Get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Community</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$0 / MIT</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Full T01-T82 detection, 3 surfaces, 23 campaign patterns, GOVBENCH, GHSA watcher, ATLAS coverage, all integrations (OpenShell, NemoClaw, Superpowers, Gigabrain, ByteRover, smolagents, OpenClaw MCP, Game Studios, AI Scientist), declare_subagent(), AgentPhase, aiglos launch, scan-deps, validate-prompt, GitHub Actions CI</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Pro</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$49/dev/mo</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Community + federated intelligence, behavioral baseline, RSA-2048 artifacts, NDAA S1513 + EU AI Act compliance export, policy proposals, cloud dashboard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Teams</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$399/mo (15 devs)</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Pro + centralized policy, aggregated threat view, Tier 3 approval workflows, audit exports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Enterprise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Custom, annual</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Teams + private federation server, air-gap deployment, C3PAO packages, dedicated engineering, NET-30</w:t>
            </w:r>
          </w:p>
        </w:tc>
      </w:tr>
    </w:tbl>
    <w:p>
      <w:pPr>
        <w:spacing w:after="60"/>
      </w:pPr>
    </w:p>
    <w:p>
      <w:pPr>
        <w:spacing w:after="120" w:before="0" w:line="276"/>
      </w:pPr>
      <w:r>
        <w:rPr>
          <w:rFonts w:ascii="Arial" w:cs="Arial" w:eastAsia="Arial" w:hAnsi="Arial"/>
          <w:b w:val="false"/>
          <w:bCs w:val="false"/>
          <w:i w:val="false"/>
          <w:iCs w:val="false"/>
          <w:sz w:val="22"/>
          <w:szCs w:val="22"/>
        </w:rPr>
        <w:t xml:space="preserve">Conversion mechanic: first call to aiglos.attest() or cloud telemetry connection auto-starts a 30-day Pro trial. No feature blocked. By day 30, the developer has built their workflow around signed artifacts. The decision is already made.</w:t>
      </w:r>
    </w:p>
    <w:p>
      <w:r>
        <w:br w:type="page"/>
      </w:r>
    </w:p>
    <w:p>
      <w:pPr>
        <w:pStyle w:val="Heading1"/>
        <w:spacing w:after="120" w:before="360"/>
      </w:pPr>
      <w:r>
        <w:rPr>
          <w:rFonts w:ascii="Arial" w:cs="Arial" w:eastAsia="Arial" w:hAnsi="Arial"/>
          <w:b/>
          <w:bCs/>
          <w:color w:val="1a1a1a"/>
          <w:sz w:val="32"/>
          <w:szCs w:val="32"/>
        </w:rPr>
        <w:t xml:space="preserve">Build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800"/>
        <w:gridCol w:w="1200"/>
        <w:gridCol w:w="5460"/>
      </w:tblGrid>
      <w:tr>
        <w:tc>
          <w:tcPr>
            <w:tcW w:type="dxa" w:w="11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Version</w:t>
            </w:r>
          </w:p>
        </w:tc>
        <w:tc>
          <w:tcPr>
            <w:tcW w:type="dxa" w:w="8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Tests</w:t>
            </w:r>
          </w:p>
        </w:tc>
        <w:tc>
          <w:tcPr>
            <w:tcW w:type="dxa" w:w="8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Rules</w:t>
            </w:r>
          </w:p>
        </w:tc>
        <w:tc>
          <w:tcPr>
            <w:tcW w:type="dxa" w:w="120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Campaigns</w:t>
            </w:r>
          </w:p>
        </w:tc>
        <w:tc>
          <w:tcPr>
            <w:tcW w:type="dxa" w:w="5460"/>
            <w:tcBorders>
              <w:top w:val="single" w:color="CCCCCC" w:sz="1"/>
              <w:left w:val="single" w:color="CCCCCC" w:sz="1"/>
              <w:bottom w:val="single" w:color="CCCCCC" w:sz="1"/>
              <w:right w:val="single" w:color="CCCCCC" w:sz="1"/>
            </w:tcBorders>
            <w:shd w:fill="E8EFF5" w:val="clear"/>
            <w:tcMar>
              <w:top w:type="dxa" w:w="40"/>
              <w:left w:type="dxa" w:w="80"/>
              <w:bottom w:type="dxa" w:w="40"/>
              <w:right w:type="dxa" w:w="80"/>
            </w:tcMar>
          </w:tcPr>
          <w:p>
            <w:pPr>
              <w:spacing w:after="0"/>
            </w:pPr>
            <w:r>
              <w:rPr>
                <w:rFonts w:ascii="Arial" w:cs="Arial" w:eastAsia="Arial" w:hAnsi="Arial"/>
                <w:b/>
                <w:bCs/>
                <w:sz w:val="18"/>
                <w:szCs w:val="18"/>
              </w:rPr>
              <w:t xml:space="preserve">Key Additions</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v0.1.0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335</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36</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5</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Initial release</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v0.10.0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688</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39</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10</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Intent prediction</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v0.11.0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753</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39</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12</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Behavioral baseline</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v0.13.0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882</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39</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15</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Federated intelligence</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v0.19.0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1,300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66</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19</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Campaign patterns, new threat families</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v0.24.0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1,514</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75</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19</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GOVBENCH, ATLAS coverage, T71-T75, NemoClaw, T68-T70</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1,582</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76</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20</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T76, NemoClaw integration, OpenShell</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1,636</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76</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20</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OpenShell auto-detect, 9 known agents</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v0.25.2</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1,690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77</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21</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declare_subagent(), T77, hard_bans, AgentPhase</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v0.25.3</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1,747</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79</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21</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T78/T79, Gigabrain, aiglos launch</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v0.25.4</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1,791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80</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21</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T80 UNCENSORED_MODEL_ROUTE, smolagents, HF Spaces</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v0.25.5</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1,791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81</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22</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T81 PTH_FILE_INJECT, scan-deps, REPO_TAKEOVER_CHAIN</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v0.25.6</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1,791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81</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22</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ByteRover, validate-prompt</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v0.25.7</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1,791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23</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T82 SELF_IMPROVEMENT_HIJACK, METACOGNITIVE_POISON_CHAIN, DGM-H</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v0.25.8</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1,791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23</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declare_studio_pipeline(), Game Studios, 17 known agents</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v0.25.9</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1,801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23</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OpenClaw MCP integration, T28/T41/T13/T36 MCP expansion</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v0.25.10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1,801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23</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AI Scientist pipeline, T82 Nature paper citation</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v0.25.11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1,801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82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23</w:t>
            </w:r>
          </w:p>
        </w:tc>
        <w:tc>
          <w:tcPr>
            <w:tcW w:type="dxa" w:w="5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val="false"/>
                <w:bCs w:val="false"/>
                <w:sz w:val="18"/>
                <w:szCs w:val="18"/>
              </w:rPr>
              <w:t xml:space="preserve">is_memory_tool() full coverage, /intel, /compliance</w:t>
            </w:r>
          </w:p>
        </w:tc>
      </w:tr>
    </w:tbl>
    <w:p>
      <w:r>
        <w:br w:type="page"/>
      </w:r>
    </w:p>
    <w:p>
      <w:pPr>
        <w:pStyle w:val="Heading1"/>
        <w:spacing w:after="120" w:before="360"/>
      </w:pPr>
      <w:r>
        <w:rPr>
          <w:rFonts w:ascii="Arial" w:cs="Arial" w:eastAsia="Arial" w:hAnsi="Arial"/>
          <w:b/>
          <w:bCs/>
          <w:color w:val="1a1a1a"/>
          <w:sz w:val="32"/>
          <w:szCs w:val="32"/>
        </w:rPr>
        <w:t xml:space="preserve">What Makes Aiglos Structurally Differentiated</w:t>
      </w:r>
    </w:p>
    <w:p>
      <w:pPr>
        <w:spacing w:after="60"/>
      </w:pPr>
    </w:p>
    <w:p>
      <w:pPr>
        <w:spacing w:after="180" w:before="0" w:line="276"/>
      </w:pPr>
      <w:r>
        <w:rPr>
          <w:rFonts w:ascii="Arial" w:cs="Arial" w:eastAsia="Arial" w:hAnsi="Arial"/>
          <w:b w:val="false"/>
          <w:bCs w:val="false"/>
          <w:i w:val="false"/>
          <w:iCs w:val="false"/>
          <w:sz w:val="22"/>
          <w:szCs w:val="22"/>
        </w:rPr>
        <w:t xml:space="preserve">1. The only product that intercepts all three surfaces. MCP-only tools miss everything Claude Code, Cursor, and Aider do via subprocess and HTTP. The three-surface architecture is not a feature. It is the architecture.</w:t>
      </w:r>
    </w:p>
    <w:p>
      <w:pPr>
        <w:spacing w:after="180" w:before="0" w:line="276"/>
      </w:pPr>
      <w:r>
        <w:rPr>
          <w:rFonts w:ascii="Arial" w:cs="Arial" w:eastAsia="Arial" w:hAnsi="Arial"/>
          <w:b w:val="false"/>
          <w:bCs w:val="false"/>
          <w:i w:val="false"/>
          <w:iCs w:val="false"/>
          <w:sz w:val="22"/>
          <w:szCs w:val="22"/>
        </w:rPr>
        <w:t xml:space="preserve">2. Agent-agnostic from day one. OpenShell wraps any agent. Aiglos detects any agent. Same YAML policy, same T-rule set, same signed artifact for all 17 known agents.</w:t>
      </w:r>
    </w:p>
    <w:p>
      <w:pPr>
        <w:spacing w:after="180" w:before="0" w:line="276"/>
      </w:pPr>
      <w:r>
        <w:rPr>
          <w:rFonts w:ascii="Arial" w:cs="Arial" w:eastAsia="Arial" w:hAnsi="Arial"/>
          <w:b w:val="false"/>
          <w:bCs w:val="false"/>
          <w:i w:val="false"/>
          <w:iCs w:val="false"/>
          <w:sz w:val="22"/>
          <w:szCs w:val="22"/>
        </w:rPr>
        <w:t xml:space="preserve">3. 3/3 GHSAs caught before disclosure. Empirical validation that no competitor can replicate. The rules came first.</w:t>
      </w:r>
    </w:p>
    <w:p>
      <w:pPr>
        <w:spacing w:after="180" w:before="0" w:line="276"/>
      </w:pPr>
      <w:r>
        <w:rPr>
          <w:rFonts w:ascii="Arial" w:cs="Arial" w:eastAsia="Arial" w:hAnsi="Arial"/>
          <w:b w:val="false"/>
          <w:bCs w:val="false"/>
          <w:i w:val="false"/>
          <w:iCs w:val="false"/>
          <w:sz w:val="22"/>
          <w:szCs w:val="22"/>
        </w:rPr>
        <w:t xml:space="preserve">4. T81 caught the LiteLLM supply chain attack mechanism before the breach was publicly disclosed. The .pth file injection rule existed. The largest AI infrastructure supply chain attack in history proved it works.</w:t>
      </w:r>
    </w:p>
    <w:p>
      <w:pPr>
        <w:spacing w:after="180" w:before="0" w:line="276"/>
      </w:pPr>
      <w:r>
        <w:rPr>
          <w:rFonts w:ascii="Arial" w:cs="Arial" w:eastAsia="Arial" w:hAnsi="Arial"/>
          <w:b w:val="false"/>
          <w:bCs w:val="false"/>
          <w:i w:val="false"/>
          <w:iCs w:val="false"/>
          <w:sz w:val="22"/>
          <w:szCs w:val="22"/>
        </w:rPr>
        <w:t xml:space="preserve">5. Campaign detection. 23 named multi-step attack patterns invisible to single-call rule engines. AGENTDEF_CHAIN, GIGABRAIN_MEMORY_POISON, REPO_TAKEOVER_CHAIN, and METACOGNITIVE_POISON_CHAIN cannot be caught by any product that evaluates calls in isolation.</w:t>
      </w:r>
    </w:p>
    <w:p>
      <w:pPr>
        <w:spacing w:after="180" w:before="0" w:line="276"/>
      </w:pPr>
      <w:r>
        <w:rPr>
          <w:rFonts w:ascii="Arial" w:cs="Arial" w:eastAsia="Arial" w:hAnsi="Arial"/>
          <w:b w:val="false"/>
          <w:bCs w:val="false"/>
          <w:i w:val="false"/>
          <w:iCs w:val="false"/>
          <w:sz w:val="22"/>
          <w:szCs w:val="22"/>
        </w:rPr>
        <w:t xml:space="preserve">6. Self-improvement pipeline protection (T82). DGM-Hyperagents is the most sophisticated agentic architecture published. T82 is the only rule designed for it. One poisoned improvement cycle, infinite forward propagation.</w:t>
      </w:r>
    </w:p>
    <w:p>
      <w:pPr>
        <w:spacing w:after="180" w:before="0" w:line="276"/>
      </w:pPr>
      <w:r>
        <w:rPr>
          <w:rFonts w:ascii="Arial" w:cs="Arial" w:eastAsia="Arial" w:hAnsi="Arial"/>
          <w:b w:val="false"/>
          <w:bCs w:val="false"/>
          <w:i w:val="false"/>
          <w:iCs w:val="false"/>
          <w:sz w:val="22"/>
          <w:szCs w:val="22"/>
        </w:rPr>
        <w:t xml:space="preserve">7. Persistent memory protection (T79). The only rule specifically designed for cross-session memory backends. Eight backends covered. Every other tool misses this entirely.</w:t>
      </w:r>
    </w:p>
    <w:p>
      <w:pPr>
        <w:spacing w:after="180" w:before="0" w:line="276"/>
      </w:pPr>
      <w:r>
        <w:rPr>
          <w:rFonts w:ascii="Arial" w:cs="Arial" w:eastAsia="Arial" w:hAnsi="Arial"/>
          <w:b w:val="false"/>
          <w:bCs w:val="false"/>
          <w:i w:val="false"/>
          <w:iCs w:val="false"/>
          <w:sz w:val="22"/>
          <w:szCs w:val="22"/>
        </w:rPr>
        <w:t xml:space="preserve">8. The only product that produces a compliance artifact at session close. ~76,598 defense contractors need a signed record of every autonomous AI agent action. NDAA S1513 status report due June 2026. Nothing else auto-generates the C3PAO-ready attestation document.</w:t>
      </w:r>
    </w:p>
    <w:p>
      <w:pPr>
        <w:spacing w:after="180" w:before="0" w:line="276"/>
      </w:pPr>
      <w:r>
        <w:rPr>
          <w:rFonts w:ascii="Arial" w:cs="Arial" w:eastAsia="Arial" w:hAnsi="Arial"/>
          <w:b w:val="false"/>
          <w:bCs w:val="false"/>
          <w:i w:val="false"/>
          <w:iCs w:val="false"/>
          <w:sz w:val="22"/>
          <w:szCs w:val="22"/>
        </w:rPr>
        <w:t xml:space="preserve">9. GOVBENCH defines the benchmark. Published before any standard body required one.</w:t>
      </w:r>
    </w:p>
    <w:p>
      <w:pPr>
        <w:spacing w:after="180" w:before="0" w:line="276"/>
      </w:pPr>
      <w:r>
        <w:rPr>
          <w:rFonts w:ascii="Arial" w:cs="Arial" w:eastAsia="Arial" w:hAnsi="Arial"/>
          <w:b w:val="false"/>
          <w:bCs w:val="false"/>
          <w:i w:val="false"/>
          <w:iCs w:val="false"/>
          <w:sz w:val="22"/>
          <w:szCs w:val="22"/>
        </w:rPr>
        <w:t xml:space="preserve">10. aiglos launch is the second front door. pip install aiglos &amp;&amp; aiglos launch. Five questions. Working agent. Security built in by default.</w:t>
      </w:r>
    </w:p>
    <w:p>
      <w:pPr>
        <w:spacing w:after="180" w:before="0" w:line="276"/>
      </w:pPr>
      <w:r>
        <w:rPr>
          <w:rFonts w:ascii="Arial" w:cs="Arial" w:eastAsia="Arial" w:hAnsi="Arial"/>
          <w:b w:val="false"/>
          <w:bCs w:val="false"/>
          <w:i w:val="false"/>
          <w:iCs w:val="false"/>
          <w:sz w:val="22"/>
          <w:szCs w:val="22"/>
        </w:rPr>
        <w:t xml:space="preserve">11. Detection that compounds. Behavioral baselines, intent prediction, and federated intelligence improve with every session and every deployment. A forked open-source version stays static. The moat grows.</w:t>
      </w:r>
    </w:p>
    <w:p>
      <w:pPr>
        <w:spacing w:after="180" w:before="0" w:line="276"/>
      </w:pPr>
      <w:r>
        <w:rPr>
          <w:rFonts w:ascii="Arial" w:cs="Arial" w:eastAsia="Arial" w:hAnsi="Arial"/>
          <w:b w:val="false"/>
          <w:bCs w:val="false"/>
          <w:i w:val="false"/>
          <w:iCs w:val="false"/>
          <w:sz w:val="22"/>
          <w:szCs w:val="22"/>
        </w:rPr>
        <w:t xml:space="preserve">12. The window. OpenClaw hit 250,000 stars in 60 days. In those same 60 days, 824 malicious skills hit ClawHub and 40,214 instances were found exposed. LiteLLM was compromised on March 24. T81 caught the mechanism. The company that owns behavioral detection when the breaches happen owns the category.</w:t>
      </w:r>
    </w:p>
    <w:p>
      <w:pPr>
        <w:spacing w:after="120"/>
      </w:pPr>
    </w:p>
    <w:p>
      <w:pPr>
        <w:spacing w:after="120" w:before="0" w:line="276"/>
        <w:jc w:val="center"/>
      </w:pPr>
      <w:r>
        <w:rPr>
          <w:rFonts w:ascii="Arial" w:cs="Arial" w:eastAsia="Arial" w:hAnsi="Arial"/>
          <w:b w:val="false"/>
          <w:bCs w:val="false"/>
          <w:i w:val="false"/>
          <w:iCs w:val="false"/>
          <w:color w:val="888888"/>
          <w:sz w:val="18"/>
          <w:szCs w:val="18"/>
        </w:rPr>
        <w:t xml:space="preserve">Generated from v0.25.11 codebase. March 31, 2026.</w:t>
      </w:r>
    </w:p>
    <w:p>
      <w:pPr>
        <w:spacing w:after="120" w:before="0" w:line="276"/>
        <w:jc w:val="center"/>
      </w:pPr>
      <w:r>
        <w:rPr>
          <w:rFonts w:ascii="Arial" w:cs="Arial" w:eastAsia="Arial" w:hAnsi="Arial"/>
          <w:b w:val="false"/>
          <w:bCs w:val="false"/>
          <w:i w:val="false"/>
          <w:iCs w:val="false"/>
          <w:color w:val="888888"/>
          <w:sz w:val="18"/>
          <w:szCs w:val="18"/>
        </w:rPr>
        <w:t xml:space="preserve">1,801 tests passing  |  github.com/aiglos/aiglos  |  aiglos.dev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Aiglos: Complete Reference</w:t>
    </w:r>
    <w:r>
      <w:rPr>
        <w:rFonts w:ascii="Arial" w:cs="Arial" w:eastAsia="Arial" w:hAnsi="Arial"/>
        <w:color w:val="999999"/>
        <w:sz w:val="16"/>
        <w:szCs w:val="16"/>
      </w:rPr>
      <w:t xml:space="preserve">	v0.25.11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2026-03-31T15:52:10.143Z</dcterms:created>
  <dcterms:modified xsi:type="dcterms:W3CDTF">2026-03-31T15:52:10.145Z</dcterms:modified>
</cp:coreProperties>
</file>

<file path=docProps/custom.xml><?xml version="1.0" encoding="utf-8"?>
<Properties xmlns="http://schemas.openxmlformats.org/officeDocument/2006/custom-properties" xmlns:vt="http://schemas.openxmlformats.org/officeDocument/2006/docPropsVTypes"/>
</file>