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智能纪要：招生数据展示及销售模式规划 2026年3月26日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录音主题：招生数据展示及销售模式规划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录音时间：2026年3月26日（周四） 20:38 - 21:15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862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音频围绕产品数据展示、销售与市场角色及提成规则、市场界面功能和系统配置等内容进行了深入讨论，确定了数据展示方式、角色职责和系统功能配置等方面的方案，内容如下：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产品数据相关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636"/>
        <w:gridCol w:w="3643"/>
      </w:tblGrid>
      <w:tr>
        <w:tc>
          <w:tcPr>
            <w:tcW w:w="463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产品构成与数据指标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产品类型：明年产品主要涉及定金数和入学数，产品包含直通车、小冲、大冲等，直通车分联考直通车和校考直通车，还有先修营等虚拟产品。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核心指标：小冲关注续班率和退学率，大冲关注退学率，最核心数据是主要产品的预报名数。</w:t>
            </w:r>
          </w:p>
        </w:tc>
        <w:tc>
          <w:tcPr>
            <w:tcW w:w="364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52650" cy="9048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产品类型与核心指标对应表</w:t>
              <w:br/>
            </w: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数据展示方式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卡片与表格结合：用卡片展示 4 个产品数据，与去年同期对比；用表呈现核心数据，表内点进去为详表，以 Excel 格式展示，方便查看和调整。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人头与金额统计：人头数包含交定金和入学人数，进招生人数为交定金数减退费数；金额为实际营收，即收款减退款。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销售与市场角色及提成规则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719"/>
        <w:gridCol w:w="3560"/>
      </w:tblGrid>
      <w:tr>
        <w:tc>
          <w:tcPr>
            <w:tcW w:w="471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角色定位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双重角色：销售兼具市场和销售角色，可自拓客户，也可将线索分配给其他销售。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市场权力：市场可将线索分配给销售，并决定线索类别和提成比例。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提成规则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自拓与分配提成：销售自拓全链路提通得 7 个点；市场获客分配给销售，市场拿 2 - 3 个点，销售拿 4 - 5 个点。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撞单处理：成交时由 AI 判断贡献，成交人至少拿 50%，若他人有贡献则协商分配；人为转线索后原跟进人无提成，特殊情况由 AI 或主管介入判断。</w:t>
            </w:r>
          </w:p>
        </w:tc>
        <w:tc>
          <w:tcPr>
            <w:tcW w:w="3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05025" cy="11620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销售与市场提成规则表</w:t>
              <w:br/>
            </w:r>
          </w:p>
        </w:tc>
      </w:tr>
    </w:tbl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市场界面功能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界面内容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线索跟进查看：市场界面可查看分出去线索的跟进情况，包括线索池、客户池和成交池，可查看线索转化和聊天记录。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线索分配标识：线索分配有标识，已分配线索在原跟进人处颜色变灰或变黑，且在进程中显示被重新分配。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操作功能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线索转移：可通过右键操作将线索转给其他顾问，实现线索在不同顾问间的分配。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批量操作：支持批量录入、批量转和批量分配线索，可通过 Excel 表导入数据，并进行类别和来源配置。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系统配置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可配置化功能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功能选择：系统实现可配置化，企业可根据需求选择功能模块，如有些公司不需要某些功能可去掉。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低代码平台：采用低代码平台组件化，企业可自行拖选接口，选择所需功能。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颜色标识</w:t>
      </w:r>
      <w:r>
        <w:rPr>
          <w:rFonts w:eastAsia="等线" w:ascii="Arial" w:cs="Arial" w:hAnsi="Arial"/>
          <w:sz w:val="22"/>
        </w:rPr>
        <w:t>：已退费、待开班、已入学、退学等状态用不同颜色标识，如已入学为红色，待开班为黄色，退费为蓝色，退学为灰色。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后续工作计划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数据表格定格</w:t>
      </w:r>
      <w:r>
        <w:rPr>
          <w:rFonts w:eastAsia="等线" w:ascii="Arial" w:cs="Arial" w:hAnsi="Arial"/>
          <w:sz w:val="22"/>
        </w:rPr>
        <w:t>：先将数据表格定格，确保数字准确，若数据不准安排专人维护上传。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销售页面完善</w:t>
      </w:r>
      <w:r>
        <w:rPr>
          <w:rFonts w:eastAsia="等线" w:ascii="Arial" w:cs="Arial" w:hAnsi="Arial"/>
          <w:sz w:val="22"/>
        </w:rPr>
        <w:t>：完善销售页面，实现相关功能，如点击球进入销售界面等。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鞭子功能讨论</w:t>
      </w:r>
      <w:r>
        <w:rPr>
          <w:rFonts w:eastAsia="等线" w:ascii="Arial" w:cs="Arial" w:hAnsi="Arial"/>
          <w:sz w:val="22"/>
        </w:rPr>
        <w:t>：后续具体讨论鞭子功能的实现方式，如强制提醒和消息通知等。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经营表调整</w:t>
      </w:r>
      <w:r>
        <w:rPr>
          <w:rFonts w:eastAsia="等线" w:ascii="Arial" w:cs="Arial" w:hAnsi="Arial"/>
          <w:sz w:val="22"/>
        </w:rPr>
        <w:t>：重新调整经营表，满足老板和领导查看需求。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00:05</w:t>
        </w:r>
      </w:hyperlink>
      <w:r>
        <w:rPr>
          <w:rFonts w:eastAsia="等线" w:ascii="Arial" w:cs="Arial" w:hAnsi="Arial"/>
          <w:b w:val="true"/>
          <w:sz w:val="22"/>
        </w:rPr>
        <w:t xml:space="preserve">  探讨产品人头数、产品线及核心数据情况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了人头数相关要素的整合。明年产品涉及定金数，包含收取和退费情况，后续有入学数。入学有直通车、小冲、大冲等产品，还有续班概念，如先小冲再大冲。文档中有6条产品线，包括私塾直通车等。因数据较多，难以全部显示，主要应关注核心数据，且这些数据与顾问数据相近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02:32</w:t>
        </w:r>
      </w:hyperlink>
      <w:r>
        <w:rPr>
          <w:rFonts w:eastAsia="等线" w:ascii="Arial" w:cs="Arial" w:hAnsi="Arial"/>
          <w:b w:val="true"/>
          <w:sz w:val="22"/>
        </w:rPr>
        <w:t xml:space="preserve">  主要产品预报名数及整合思路探讨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本章节讨论了核心数据为主要产品的预报名数，主要产品包括直通车和大充，对于小充是否纳入存在一定争议，说话人1认为可算也可不算，之后说话人1提出想整合相关内容，并让对方拿纸来画一下。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03:07</w:t>
        </w:r>
      </w:hyperlink>
      <w:r>
        <w:rPr>
          <w:rFonts w:eastAsia="等线" w:ascii="Arial" w:cs="Arial" w:hAnsi="Arial"/>
          <w:b w:val="true"/>
          <w:sz w:val="22"/>
        </w:rPr>
        <w:t xml:space="preserve">  直通车产品内容、费用及指标情况说明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直通车项目明年政策，即不再退费。19800元定金包含学练机、诊断、规划、志愿填报等，可成为超级会员。直通车分联考和校考，联考直通车包括先修营、小冲、大冲；校考直通车不含先修营。小冲关键指标是续班率和退学率，大冲是退学率。若不来定金不退，来则定金算入后续费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06:38</w:t>
        </w:r>
      </w:hyperlink>
      <w:r>
        <w:rPr>
          <w:rFonts w:eastAsia="等线" w:ascii="Arial" w:cs="Arial" w:hAnsi="Arial"/>
          <w:b w:val="true"/>
          <w:sz w:val="22"/>
        </w:rPr>
        <w:t xml:space="preserve">  招生数据展示方案及营收计算逻辑探讨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了数据显示方式，决定放弃环形图，采用多个卡片展示。需将浙江和全国、小车和大车等指标按产品与去年同期对比。涉及定金、入学、退费、退学等数据，按人头数和金额计算达成进度与实际营收。用表呈现数据，点进去是详表，后期先定格表，若数据不准安排人维护上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13:55</w:t>
        </w:r>
      </w:hyperlink>
      <w:r>
        <w:rPr>
          <w:rFonts w:eastAsia="等线" w:ascii="Arial" w:cs="Arial" w:hAnsi="Arial"/>
          <w:b w:val="true"/>
          <w:sz w:val="22"/>
        </w:rPr>
        <w:t xml:space="preserve">  顾问表格设计及数据呈现与页面跳转规划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了为顾问制作表格的事宜，表格维度与其他表格相同，顾问表格除人头数外多积分项。提到关注人的效能可看当前客户数、激活池客户数等，列出客户数、激活数、成交数及54率等数据。不做预测，用过程漏斗数据加两个实际数据，点击人员可进入其销售界面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16:22</w:t>
        </w:r>
      </w:hyperlink>
      <w:r>
        <w:rPr>
          <w:rFonts w:eastAsia="等线" w:ascii="Arial" w:cs="Arial" w:hAnsi="Arial"/>
          <w:b w:val="true"/>
          <w:sz w:val="22"/>
        </w:rPr>
        <w:t xml:space="preserve">  市场与销售界面统一及线索分配销售设想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提出想做一个功能，今年市场和销售都要有界面，且市场界面和销售界面一样。理论上市场人员能做销售工作，销售人员也能做市场工作，比如销售人员可将自己的客户丢到公海、分配给顾问，还能把有价值的线索卖给顾问，说话人2对此表示认同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17:03</w:t>
        </w:r>
      </w:hyperlink>
      <w:r>
        <w:rPr>
          <w:rFonts w:eastAsia="等线" w:ascii="Arial" w:cs="Arial" w:hAnsi="Arial"/>
          <w:b w:val="true"/>
          <w:sz w:val="22"/>
        </w:rPr>
        <w:t xml:space="preserve">  销售线索分配、转移及提成计算规则探讨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了销售线索提成分配及流转问题。自拓线索销售全链路提通有7个点，市场获客分配给销售，市场拿2 - 3个点、销售拿4 - 5个点。销售可转线索，市场权力较大。成交提成方面，最好用AI判断贡献，成交人至少拿50%。人为转线索后原销售提成取消，复杂情况可AI或领导介入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21:47</w:t>
        </w:r>
      </w:hyperlink>
      <w:r>
        <w:rPr>
          <w:rFonts w:eastAsia="等线" w:ascii="Arial" w:cs="Arial" w:hAnsi="Arial"/>
          <w:b w:val="true"/>
          <w:sz w:val="22"/>
        </w:rPr>
        <w:t xml:space="preserve">  领导界面设计及市场与销售身份界定探讨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领导界面相关内容，认为领导界面与老板页面类似，只是展示内容球少些。还探讨市场是否应包含在界面中，担心市场目标会使总金额统计混乱，但也认为若市场能单独承担，放进去问题不大，同时提出想模糊市场和销售身份，还提及线索分配及顾问核心数据是寻找线索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24:29</w:t>
        </w:r>
      </w:hyperlink>
      <w:r>
        <w:rPr>
          <w:rFonts w:eastAsia="等线" w:ascii="Arial" w:cs="Arial" w:hAnsi="Arial"/>
          <w:b w:val="true"/>
          <w:sz w:val="22"/>
        </w:rPr>
        <w:t xml:space="preserve">  市场线索池及线索分配、标识与回流讨论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市场端口及线索管理问题。市场端口应能查看分出去的所有线索跟进情况，可通过线索池查看线索转化及聊天记录。线索池可分为未分配线索池、已建联线索（客户池）和成交池，只有市场搞来的线索能看。线索重新分配时要给原顾问标识，虽理论上不能删除，可变色沉底，还考虑到线索可能被分回的情况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28:42</w:t>
        </w:r>
      </w:hyperlink>
      <w:r>
        <w:rPr>
          <w:rFonts w:eastAsia="等线" w:ascii="Arial" w:cs="Arial" w:hAnsi="Arial"/>
          <w:b w:val="true"/>
          <w:sz w:val="22"/>
        </w:rPr>
        <w:t xml:space="preserve">  销售界面功能、显示及客户状态颜色讨论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了顾问助手添加日报功能，鞭子提醒方式待具体讨论；要先完成今日事项并查看销售页面，折叠效果后续实现。提及升级池等概念，成交和入学显示客户名字，合同金额为19800。还探讨了右键操作、客户档案点击问题，客户状态用浅灰、深灰区分，避免用黑色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33:00</w:t>
        </w:r>
      </w:hyperlink>
      <w:r>
        <w:rPr>
          <w:rFonts w:eastAsia="等线" w:ascii="Arial" w:cs="Arial" w:hAnsi="Arial"/>
          <w:b w:val="true"/>
          <w:sz w:val="22"/>
        </w:rPr>
        <w:t xml:space="preserve">  SaaS化功能可配置及招生状态与跟进设置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SaaS化相关内容，可将相关功能做成可配置化，用户能根据自身需求选择或去掉某些功能，还提及低代码平台组件化，用户可自行拖选接口。同时明确了退费和退学的区别，未入学退为退费，入学后退为退学，还提到营销同事跟进事宜，以及相关内容可在后台配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34:55</w:t>
        </w:r>
      </w:hyperlink>
      <w:r>
        <w:rPr>
          <w:rFonts w:eastAsia="等线" w:ascii="Arial" w:cs="Arial" w:hAnsi="Arial"/>
          <w:b w:val="true"/>
          <w:sz w:val="22"/>
        </w:rPr>
        <w:t xml:space="preserve">  市场界面录入功能及经营表讨论安排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本章节主要讨论了市场界面相关内容，提到市场界面复杂，需支持录入线索的批量操作，如批量录、转、分配，可通过 Excel 表导入，导入后要做配置，能选择类别和来源。还提及一张经营表，潘总等人要看此表，说话人 2 表示先回去消化，有疑问会随时询问，最后提到有新产品。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：采用表格形式展示数据，表头放置 4 个产品，各产品数据与去年同期环比对比，表中体现人头数、金额及达成进度，点进表格可查看详表，顾问也使用相同维度的表格。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：如何清晰展示众多产品的定金、入学、退费、退学等数据，以及如何进行有效对比和管理。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1 提出用环形图展示，但发现难以清晰呈现既有小车又有大车且分全国和浙江的数据。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1 和说话人 2 最终确定用多个卡片或表格展示，表头放 4 个产品并与去年同期对比。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：表格形式更简单、直观，便于显示和调整数据，且能满足查看详细数据的需求。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直通车明年不退费，19,800 定金包含学练机、诊断、规划、志愿填报等，相当于超级会员，可预进大冲或小冲。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销售和市场角色可模糊，市场可分配线索给销售，销售也可分配自己的线索，通过右键操作或设置交易按钮实现，同时设置 AI 判断撞单机制。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市场设置端口，可查看分出去线索的跟进情况，包括线索池、客户池、成交池等，分配出去的线索在原顾问处做标识，颜色变灰并沉底。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数据显示方面，成交和入学显示客户名字，合同金额要显示，对已退费、待开班、已入学、退学等状态用不同颜色区分。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市场界面支持批量录入、批量转、批量分配线索，导入 Excel 表后可进行配置，选择一类二类、来源等。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「其实最核心的一个数据其实还是预报名数了，主要关注主要产品的预报名数。」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明确了会议讨论中最核心的数据指标，为后续的数据展示和分析提供了方向。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「不用预测，不准的，不要给自己找麻烦，他们自己会预测，关注过程数据和实际数据即可。」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强调了关注实际过程数据的重要性，避免因不准确的预测带来麻烦。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「销售有两个角色，既是市场，也是销售，可以把线索转出去，也可以接收市场的线索。」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提出了销售角色的新定义，打破了传统市场和销售的界限，为业务拓展提供了新思路。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20">
        <w:r>
          <w:rPr>
            <w:rFonts w:eastAsia="等线" w:ascii="Arial" w:cs="Arial" w:hAnsi="Arial"/>
            <w:color w:val="3370ff"/>
            <w:sz w:val="22"/>
          </w:rPr>
          <w:t>招生数据展示及销售模式规划</w:t>
        </w:r>
      </w:hyperlink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招生数据展示及销售模式规划 2026年3月26日</w:t>
        </w:r>
      </w:hyperlink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2006">
    <w:lvl>
      <w:numFmt w:val="bullet"/>
      <w:suff w:val="tab"/>
      <w:lvlText w:val="•"/>
      <w:rPr>
        <w:color w:val="3370ff"/>
      </w:rPr>
    </w:lvl>
  </w:abstractNum>
  <w:abstractNum w:abstractNumId="412007">
    <w:lvl>
      <w:numFmt w:val="bullet"/>
      <w:suff w:val="tab"/>
      <w:lvlText w:val="•"/>
      <w:rPr>
        <w:color w:val="3370ff"/>
      </w:rPr>
    </w:lvl>
  </w:abstractNum>
  <w:abstractNum w:abstractNumId="412008">
    <w:lvl>
      <w:numFmt w:val="bullet"/>
      <w:suff w:val="tab"/>
      <w:lvlText w:val="￮"/>
      <w:rPr>
        <w:color w:val="3370ff"/>
      </w:rPr>
    </w:lvl>
  </w:abstractNum>
  <w:abstractNum w:abstractNumId="412009">
    <w:lvl>
      <w:numFmt w:val="bullet"/>
      <w:suff w:val="tab"/>
      <w:lvlText w:val="￮"/>
      <w:rPr>
        <w:color w:val="3370ff"/>
      </w:rPr>
    </w:lvl>
  </w:abstractNum>
  <w:abstractNum w:abstractNumId="412010">
    <w:lvl>
      <w:numFmt w:val="bullet"/>
      <w:suff w:val="tab"/>
      <w:lvlText w:val="￮"/>
      <w:rPr>
        <w:color w:val="3370ff"/>
      </w:rPr>
    </w:lvl>
  </w:abstractNum>
  <w:abstractNum w:abstractNumId="412011">
    <w:lvl>
      <w:numFmt w:val="bullet"/>
      <w:suff w:val="tab"/>
      <w:lvlText w:val="▪"/>
      <w:rPr>
        <w:color w:val="3370ff"/>
        <w:sz w:val="11"/>
      </w:rPr>
    </w:lvl>
  </w:abstractNum>
  <w:abstractNum w:abstractNumId="412012">
    <w:lvl>
      <w:numFmt w:val="bullet"/>
      <w:suff w:val="tab"/>
      <w:lvlText w:val="▪"/>
      <w:rPr>
        <w:color w:val="3370ff"/>
        <w:sz w:val="11"/>
      </w:rPr>
    </w:lvl>
  </w:abstractNum>
  <w:abstractNum w:abstractNumId="412013">
    <w:lvl>
      <w:numFmt w:val="bullet"/>
      <w:suff w:val="tab"/>
      <w:lvlText w:val="•"/>
      <w:rPr>
        <w:color w:val="3370ff"/>
      </w:rPr>
    </w:lvl>
  </w:abstractNum>
  <w:abstractNum w:abstractNumId="412014">
    <w:lvl>
      <w:numFmt w:val="bullet"/>
      <w:suff w:val="tab"/>
      <w:lvlText w:val="•"/>
      <w:rPr>
        <w:color w:val="3370ff"/>
      </w:rPr>
    </w:lvl>
  </w:abstractNum>
  <w:abstractNum w:abstractNumId="412015">
    <w:lvl>
      <w:numFmt w:val="bullet"/>
      <w:suff w:val="tab"/>
      <w:lvlText w:val="￮"/>
      <w:rPr>
        <w:color w:val="3370ff"/>
      </w:rPr>
    </w:lvl>
  </w:abstractNum>
  <w:abstractNum w:abstractNumId="412016">
    <w:lvl>
      <w:numFmt w:val="bullet"/>
      <w:suff w:val="tab"/>
      <w:lvlText w:val="￮"/>
      <w:rPr>
        <w:color w:val="3370ff"/>
      </w:rPr>
    </w:lvl>
  </w:abstractNum>
  <w:abstractNum w:abstractNumId="412017">
    <w:lvl>
      <w:numFmt w:val="bullet"/>
      <w:suff w:val="tab"/>
      <w:lvlText w:val="•"/>
      <w:rPr>
        <w:color w:val="3370ff"/>
      </w:rPr>
    </w:lvl>
  </w:abstractNum>
  <w:abstractNum w:abstractNumId="412018">
    <w:lvl>
      <w:numFmt w:val="bullet"/>
      <w:suff w:val="tab"/>
      <w:lvlText w:val="￮"/>
      <w:rPr>
        <w:color w:val="3370ff"/>
      </w:rPr>
    </w:lvl>
  </w:abstractNum>
  <w:abstractNum w:abstractNumId="412019">
    <w:lvl>
      <w:numFmt w:val="bullet"/>
      <w:suff w:val="tab"/>
      <w:lvlText w:val="￮"/>
      <w:rPr>
        <w:color w:val="3370ff"/>
      </w:rPr>
    </w:lvl>
  </w:abstractNum>
  <w:abstractNum w:abstractNumId="412020">
    <w:lvl>
      <w:numFmt w:val="bullet"/>
      <w:suff w:val="tab"/>
      <w:lvlText w:val="•"/>
      <w:rPr>
        <w:color w:val="3370ff"/>
      </w:rPr>
    </w:lvl>
  </w:abstractNum>
  <w:abstractNum w:abstractNumId="412021">
    <w:lvl>
      <w:numFmt w:val="bullet"/>
      <w:suff w:val="tab"/>
      <w:lvlText w:val="￮"/>
      <w:rPr>
        <w:color w:val="3370ff"/>
      </w:rPr>
    </w:lvl>
  </w:abstractNum>
  <w:abstractNum w:abstractNumId="412022">
    <w:lvl>
      <w:numFmt w:val="bullet"/>
      <w:suff w:val="tab"/>
      <w:lvlText w:val="▪"/>
      <w:rPr>
        <w:color w:val="3370ff"/>
        <w:sz w:val="11"/>
      </w:rPr>
    </w:lvl>
  </w:abstractNum>
  <w:abstractNum w:abstractNumId="412023">
    <w:lvl>
      <w:numFmt w:val="bullet"/>
      <w:suff w:val="tab"/>
      <w:lvlText w:val="▪"/>
      <w:rPr>
        <w:color w:val="3370ff"/>
        <w:sz w:val="11"/>
      </w:rPr>
    </w:lvl>
  </w:abstractNum>
  <w:abstractNum w:abstractNumId="412024">
    <w:lvl>
      <w:numFmt w:val="bullet"/>
      <w:suff w:val="tab"/>
      <w:lvlText w:val="￮"/>
      <w:rPr>
        <w:color w:val="3370ff"/>
      </w:rPr>
    </w:lvl>
  </w:abstractNum>
  <w:abstractNum w:abstractNumId="412025">
    <w:lvl>
      <w:numFmt w:val="bullet"/>
      <w:suff w:val="tab"/>
      <w:lvlText w:val="▪"/>
      <w:rPr>
        <w:color w:val="3370ff"/>
        <w:sz w:val="11"/>
      </w:rPr>
    </w:lvl>
  </w:abstractNum>
  <w:abstractNum w:abstractNumId="412026">
    <w:lvl>
      <w:numFmt w:val="bullet"/>
      <w:suff w:val="tab"/>
      <w:lvlText w:val="▪"/>
      <w:rPr>
        <w:color w:val="3370ff"/>
        <w:sz w:val="11"/>
      </w:rPr>
    </w:lvl>
  </w:abstractNum>
  <w:abstractNum w:abstractNumId="412027">
    <w:lvl>
      <w:numFmt w:val="bullet"/>
      <w:suff w:val="tab"/>
      <w:lvlText w:val="•"/>
      <w:rPr>
        <w:color w:val="3370ff"/>
      </w:rPr>
    </w:lvl>
  </w:abstractNum>
  <w:abstractNum w:abstractNumId="412028">
    <w:lvl>
      <w:numFmt w:val="bullet"/>
      <w:suff w:val="tab"/>
      <w:lvlText w:val="￮"/>
      <w:rPr>
        <w:color w:val="3370ff"/>
      </w:rPr>
    </w:lvl>
  </w:abstractNum>
  <w:abstractNum w:abstractNumId="412029">
    <w:lvl>
      <w:numFmt w:val="bullet"/>
      <w:suff w:val="tab"/>
      <w:lvlText w:val="▪"/>
      <w:rPr>
        <w:color w:val="3370ff"/>
        <w:sz w:val="11"/>
      </w:rPr>
    </w:lvl>
  </w:abstractNum>
  <w:abstractNum w:abstractNumId="412030">
    <w:lvl>
      <w:numFmt w:val="bullet"/>
      <w:suff w:val="tab"/>
      <w:lvlText w:val="▪"/>
      <w:rPr>
        <w:color w:val="3370ff"/>
        <w:sz w:val="11"/>
      </w:rPr>
    </w:lvl>
  </w:abstractNum>
  <w:abstractNum w:abstractNumId="412031">
    <w:lvl>
      <w:numFmt w:val="bullet"/>
      <w:suff w:val="tab"/>
      <w:lvlText w:val="￮"/>
      <w:rPr>
        <w:color w:val="3370ff"/>
      </w:rPr>
    </w:lvl>
  </w:abstractNum>
  <w:abstractNum w:abstractNumId="412032">
    <w:lvl>
      <w:numFmt w:val="bullet"/>
      <w:suff w:val="tab"/>
      <w:lvlText w:val="•"/>
      <w:rPr>
        <w:color w:val="3370ff"/>
      </w:rPr>
    </w:lvl>
  </w:abstractNum>
  <w:abstractNum w:abstractNumId="412033">
    <w:lvl>
      <w:numFmt w:val="bullet"/>
      <w:suff w:val="tab"/>
      <w:lvlText w:val="￮"/>
      <w:rPr>
        <w:color w:val="3370ff"/>
      </w:rPr>
    </w:lvl>
  </w:abstractNum>
  <w:abstractNum w:abstractNumId="412034">
    <w:lvl>
      <w:numFmt w:val="bullet"/>
      <w:suff w:val="tab"/>
      <w:lvlText w:val="￮"/>
      <w:rPr>
        <w:color w:val="3370ff"/>
      </w:rPr>
    </w:lvl>
  </w:abstractNum>
  <w:abstractNum w:abstractNumId="412035">
    <w:lvl>
      <w:numFmt w:val="bullet"/>
      <w:suff w:val="tab"/>
      <w:lvlText w:val="￮"/>
      <w:rPr>
        <w:color w:val="3370ff"/>
      </w:rPr>
    </w:lvl>
  </w:abstractNum>
  <w:abstractNum w:abstractNumId="412036">
    <w:lvl>
      <w:numFmt w:val="bullet"/>
      <w:suff w:val="tab"/>
      <w:lvlText w:val="￮"/>
      <w:rPr>
        <w:color w:val="3370ff"/>
      </w:rPr>
    </w:lvl>
  </w:abstractNum>
  <w:abstractNum w:abstractNumId="412037">
    <w:lvl>
      <w:numFmt w:val="bullet"/>
      <w:suff w:val="tab"/>
      <w:lvlText w:val="•"/>
      <w:rPr>
        <w:color w:val="3370ff"/>
      </w:rPr>
    </w:lvl>
  </w:abstractNum>
  <w:abstractNum w:abstractNumId="412038">
    <w:lvl>
      <w:numFmt w:val="bullet"/>
      <w:suff w:val="tab"/>
      <w:lvlText w:val="￮"/>
      <w:rPr>
        <w:color w:val="3370ff"/>
      </w:rPr>
    </w:lvl>
  </w:abstractNum>
  <w:abstractNum w:abstractNumId="412039">
    <w:lvl>
      <w:numFmt w:val="bullet"/>
      <w:suff w:val="tab"/>
      <w:lvlText w:val="￮"/>
      <w:rPr>
        <w:color w:val="3370ff"/>
      </w:rPr>
    </w:lvl>
  </w:abstractNum>
  <w:abstractNum w:abstractNumId="412040">
    <w:lvl>
      <w:numFmt w:val="bullet"/>
      <w:suff w:val="tab"/>
      <w:lvlText w:val="▪"/>
      <w:rPr>
        <w:color w:val="3370ff"/>
        <w:sz w:val="11"/>
      </w:rPr>
    </w:lvl>
  </w:abstractNum>
  <w:abstractNum w:abstractNumId="412041">
    <w:lvl>
      <w:numFmt w:val="bullet"/>
      <w:suff w:val="tab"/>
      <w:lvlText w:val="▪"/>
      <w:rPr>
        <w:color w:val="3370ff"/>
        <w:sz w:val="11"/>
      </w:rPr>
    </w:lvl>
  </w:abstractNum>
  <w:abstractNum w:abstractNumId="412042">
    <w:lvl>
      <w:numFmt w:val="bullet"/>
      <w:suff w:val="tab"/>
      <w:lvlText w:val="￮"/>
      <w:rPr>
        <w:color w:val="3370ff"/>
      </w:rPr>
    </w:lvl>
  </w:abstractNum>
  <w:abstractNum w:abstractNumId="412043">
    <w:lvl>
      <w:numFmt w:val="bullet"/>
      <w:suff w:val="tab"/>
      <w:lvlText w:val="•"/>
      <w:rPr>
        <w:color w:val="3370ff"/>
      </w:rPr>
    </w:lvl>
  </w:abstractNum>
  <w:abstractNum w:abstractNumId="412044">
    <w:lvl>
      <w:start w:val="1"/>
      <w:numFmt w:val="lowerLetter"/>
      <w:suff w:val="tab"/>
      <w:lvlText w:val="%1."/>
      <w:rPr>
        <w:color w:val="3370ff"/>
      </w:rPr>
    </w:lvl>
  </w:abstractNum>
  <w:abstractNum w:abstractNumId="412045">
    <w:lvl>
      <w:start w:val="2"/>
      <w:numFmt w:val="lowerLetter"/>
      <w:suff w:val="tab"/>
      <w:lvlText w:val="%1."/>
      <w:rPr>
        <w:color w:val="3370ff"/>
      </w:rPr>
    </w:lvl>
  </w:abstractNum>
  <w:abstractNum w:abstractNumId="412046">
    <w:lvl>
      <w:start w:val="3"/>
      <w:numFmt w:val="lowerLetter"/>
      <w:suff w:val="tab"/>
      <w:lvlText w:val="%1."/>
      <w:rPr>
        <w:color w:val="3370ff"/>
      </w:rPr>
    </w:lvl>
  </w:abstractNum>
  <w:abstractNum w:abstractNumId="412047">
    <w:lvl>
      <w:start w:val="4"/>
      <w:numFmt w:val="lowerLetter"/>
      <w:suff w:val="tab"/>
      <w:lvlText w:val="%1."/>
      <w:rPr>
        <w:color w:val="3370ff"/>
      </w:rPr>
    </w:lvl>
  </w:abstractNum>
  <w:abstractNum w:abstractNumId="412048">
    <w:lvl>
      <w:start w:val="5"/>
      <w:numFmt w:val="lowerLetter"/>
      <w:suff w:val="tab"/>
      <w:lvlText w:val="%1."/>
      <w:rPr>
        <w:color w:val="3370ff"/>
      </w:rPr>
    </w:lvl>
  </w:abstractNum>
  <w:abstractNum w:abstractNumId="412049">
    <w:lvl>
      <w:numFmt w:val="bullet"/>
      <w:suff w:val="tab"/>
      <w:lvlText w:val="•"/>
      <w:rPr>
        <w:color w:val="3370ff"/>
      </w:rPr>
    </w:lvl>
  </w:abstractNum>
  <w:abstractNum w:abstractNumId="412050">
    <w:lvl>
      <w:numFmt w:val="bullet"/>
      <w:suff w:val="tab"/>
      <w:lvlText w:val="•"/>
      <w:rPr>
        <w:color w:val="3370ff"/>
      </w:rPr>
    </w:lvl>
  </w:abstractNum>
  <w:abstractNum w:abstractNumId="412051">
    <w:lvl>
      <w:numFmt w:val="bullet"/>
      <w:suff w:val="tab"/>
      <w:lvlText w:val="￮"/>
      <w:rPr>
        <w:color w:val="3370ff"/>
      </w:rPr>
    </w:lvl>
  </w:abstractNum>
  <w:num w:numId="1">
    <w:abstractNumId w:val="412006"/>
  </w:num>
  <w:num w:numId="2">
    <w:abstractNumId w:val="412007"/>
  </w:num>
  <w:num w:numId="3">
    <w:abstractNumId w:val="412008"/>
  </w:num>
  <w:num w:numId="4">
    <w:abstractNumId w:val="412009"/>
  </w:num>
  <w:num w:numId="5">
    <w:abstractNumId w:val="412010"/>
  </w:num>
  <w:num w:numId="6">
    <w:abstractNumId w:val="412011"/>
  </w:num>
  <w:num w:numId="7">
    <w:abstractNumId w:val="412012"/>
  </w:num>
  <w:num w:numId="8">
    <w:abstractNumId w:val="412013"/>
  </w:num>
  <w:num w:numId="9">
    <w:abstractNumId w:val="412014"/>
  </w:num>
  <w:num w:numId="10">
    <w:abstractNumId w:val="412015"/>
  </w:num>
  <w:num w:numId="11">
    <w:abstractNumId w:val="412016"/>
  </w:num>
  <w:num w:numId="12">
    <w:abstractNumId w:val="412017"/>
  </w:num>
  <w:num w:numId="13">
    <w:abstractNumId w:val="412018"/>
  </w:num>
  <w:num w:numId="14">
    <w:abstractNumId w:val="412019"/>
  </w:num>
  <w:num w:numId="15">
    <w:abstractNumId w:val="412020"/>
  </w:num>
  <w:num w:numId="16">
    <w:abstractNumId w:val="412021"/>
  </w:num>
  <w:num w:numId="17">
    <w:abstractNumId w:val="412022"/>
  </w:num>
  <w:num w:numId="18">
    <w:abstractNumId w:val="412023"/>
  </w:num>
  <w:num w:numId="19">
    <w:abstractNumId w:val="412024"/>
  </w:num>
  <w:num w:numId="20">
    <w:abstractNumId w:val="412025"/>
  </w:num>
  <w:num w:numId="21">
    <w:abstractNumId w:val="412026"/>
  </w:num>
  <w:num w:numId="22">
    <w:abstractNumId w:val="412027"/>
  </w:num>
  <w:num w:numId="23">
    <w:abstractNumId w:val="412028"/>
  </w:num>
  <w:num w:numId="24">
    <w:abstractNumId w:val="412029"/>
  </w:num>
  <w:num w:numId="25">
    <w:abstractNumId w:val="412030"/>
  </w:num>
  <w:num w:numId="26">
    <w:abstractNumId w:val="412031"/>
  </w:num>
  <w:num w:numId="27">
    <w:abstractNumId w:val="412032"/>
  </w:num>
  <w:num w:numId="28">
    <w:abstractNumId w:val="412033"/>
  </w:num>
  <w:num w:numId="29">
    <w:abstractNumId w:val="412034"/>
  </w:num>
  <w:num w:numId="30">
    <w:abstractNumId w:val="412035"/>
  </w:num>
  <w:num w:numId="31">
    <w:abstractNumId w:val="412036"/>
  </w:num>
  <w:num w:numId="32">
    <w:abstractNumId w:val="412037"/>
  </w:num>
  <w:num w:numId="33">
    <w:abstractNumId w:val="412038"/>
  </w:num>
  <w:num w:numId="34">
    <w:abstractNumId w:val="412039"/>
  </w:num>
  <w:num w:numId="35">
    <w:abstractNumId w:val="412040"/>
  </w:num>
  <w:num w:numId="36">
    <w:abstractNumId w:val="412041"/>
  </w:num>
  <w:num w:numId="37">
    <w:abstractNumId w:val="412042"/>
  </w:num>
  <w:num w:numId="38">
    <w:abstractNumId w:val="412043"/>
  </w:num>
  <w:num w:numId="39">
    <w:abstractNumId w:val="412044"/>
  </w:num>
  <w:num w:numId="40">
    <w:abstractNumId w:val="412045"/>
  </w:num>
  <w:num w:numId="41">
    <w:abstractNumId w:val="412046"/>
  </w:num>
  <w:num w:numId="42">
    <w:abstractNumId w:val="412047"/>
  </w:num>
  <w:num w:numId="43">
    <w:abstractNumId w:val="412048"/>
  </w:num>
  <w:num w:numId="44">
    <w:abstractNumId w:val="412049"/>
  </w:num>
  <w:num w:numId="45">
    <w:abstractNumId w:val="412050"/>
  </w:num>
  <w:num w:numId="46">
    <w:abstractNumId w:val="4120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ncnkzwzddvpy.feishu.cn/minutes/obcnnt52czlq1327f8qi79nd?t=187000" TargetMode="External" Type="http://schemas.openxmlformats.org/officeDocument/2006/relationships/hyperlink"/><Relationship Id="rId11" Target="https://ncnkzwzddvpy.feishu.cn/minutes/obcnnt52czlq1327f8qi79nd?t=398000" TargetMode="External" Type="http://schemas.openxmlformats.org/officeDocument/2006/relationships/hyperlink"/><Relationship Id="rId12" Target="https://ncnkzwzddvpy.feishu.cn/minutes/obcnnt52czlq1327f8qi79nd?t=835000" TargetMode="External" Type="http://schemas.openxmlformats.org/officeDocument/2006/relationships/hyperlink"/><Relationship Id="rId13" Target="https://ncnkzwzddvpy.feishu.cn/minutes/obcnnt52czlq1327f8qi79nd?t=982000" TargetMode="External" Type="http://schemas.openxmlformats.org/officeDocument/2006/relationships/hyperlink"/><Relationship Id="rId14" Target="https://ncnkzwzddvpy.feishu.cn/minutes/obcnnt52czlq1327f8qi79nd?t=1023000" TargetMode="External" Type="http://schemas.openxmlformats.org/officeDocument/2006/relationships/hyperlink"/><Relationship Id="rId15" Target="https://ncnkzwzddvpy.feishu.cn/minutes/obcnnt52czlq1327f8qi79nd?t=1307000" TargetMode="External" Type="http://schemas.openxmlformats.org/officeDocument/2006/relationships/hyperlink"/><Relationship Id="rId16" Target="https://ncnkzwzddvpy.feishu.cn/minutes/obcnnt52czlq1327f8qi79nd?t=1469000" TargetMode="External" Type="http://schemas.openxmlformats.org/officeDocument/2006/relationships/hyperlink"/><Relationship Id="rId17" Target="https://ncnkzwzddvpy.feishu.cn/minutes/obcnnt52czlq1327f8qi79nd?t=1722000" TargetMode="External" Type="http://schemas.openxmlformats.org/officeDocument/2006/relationships/hyperlink"/><Relationship Id="rId18" Target="https://ncnkzwzddvpy.feishu.cn/minutes/obcnnt52czlq1327f8qi79nd?t=1980000" TargetMode="External" Type="http://schemas.openxmlformats.org/officeDocument/2006/relationships/hyperlink"/><Relationship Id="rId19" Target="https://ncnkzwzddvpy.feishu.cn/minutes/obcnnt52czlq1327f8qi79nd?t=2095000" TargetMode="External" Type="http://schemas.openxmlformats.org/officeDocument/2006/relationships/hyperlink"/><Relationship Id="rId2" Target="styles.xml" Type="http://schemas.openxmlformats.org/officeDocument/2006/relationships/styles"/><Relationship Id="rId20" Target="https://ncnkzwzddvpy.feishu.cn/minutes/obcnnt52czlq1327f8qi79nd?from=ai_minutes" TargetMode="External" Type="http://schemas.openxmlformats.org/officeDocument/2006/relationships/hyperlink"/><Relationship Id="rId21" Target="https://ncnkzwzddvpy.feishu.cn/docx/Z4kEdDTQvo9qMfxYKyscoHM1nrf" TargetMode="External" Type="http://schemas.openxmlformats.org/officeDocument/2006/relationships/hyperlink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ncnkzwzddvpy.feishu.cn/minutes/obcnnt52czlq1327f8qi79nd?t=5000" TargetMode="External" Type="http://schemas.openxmlformats.org/officeDocument/2006/relationships/hyperlink"/><Relationship Id="rId9" Target="https://ncnkzwzddvpy.feishu.cn/minutes/obcnnt52czlq1327f8qi79nd?t=152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2026-03-29T09:38:46Z</dcterms:created>
  <dc:creator>Apache POI</dc:creator>
</cp:coreProperties>
</file>