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210" w:rsidRPr="00B10210" w:rsidRDefault="00B10210" w:rsidP="00B10210">
      <w:pPr>
        <w:pStyle w:val="a5"/>
        <w:shd w:val="clear" w:color="auto" w:fill="FFFFFF"/>
        <w:spacing w:before="0" w:beforeAutospacing="0" w:after="225" w:afterAutospacing="0" w:line="560" w:lineRule="exact"/>
        <w:rPr>
          <w:sz w:val="32"/>
          <w:szCs w:val="32"/>
        </w:rPr>
      </w:pPr>
      <w:bookmarkStart w:id="0" w:name="_GoBack"/>
      <w:r w:rsidRPr="00B10210">
        <w:rPr>
          <w:rFonts w:hint="eastAsia"/>
          <w:sz w:val="32"/>
          <w:szCs w:val="32"/>
        </w:rPr>
        <w:t>附件1</w:t>
      </w:r>
    </w:p>
    <w:bookmarkEnd w:id="0"/>
    <w:p w:rsidR="002E41EE" w:rsidRDefault="002E41EE" w:rsidP="004F6422">
      <w:pPr>
        <w:pStyle w:val="a5"/>
        <w:shd w:val="clear" w:color="auto" w:fill="FFFFFF"/>
        <w:spacing w:before="0" w:beforeAutospacing="0" w:after="225" w:afterAutospacing="0" w:line="560" w:lineRule="exact"/>
        <w:jc w:val="center"/>
        <w:rPr>
          <w:sz w:val="44"/>
          <w:szCs w:val="44"/>
        </w:rPr>
      </w:pPr>
      <w:r w:rsidRPr="004F6422">
        <w:rPr>
          <w:rFonts w:hint="eastAsia"/>
          <w:sz w:val="44"/>
          <w:szCs w:val="44"/>
        </w:rPr>
        <w:t>财政部、国家税务总局关于非营利组织免税资格认定管理有关问题的通知</w:t>
      </w:r>
    </w:p>
    <w:p w:rsidR="004F6422" w:rsidRPr="004F6422" w:rsidRDefault="004F6422" w:rsidP="004F6422">
      <w:pPr>
        <w:pStyle w:val="a5"/>
        <w:shd w:val="clear" w:color="auto" w:fill="FFFFFF"/>
        <w:spacing w:before="0" w:beforeAutospacing="0" w:after="225" w:afterAutospacing="0" w:line="560" w:lineRule="exact"/>
        <w:jc w:val="center"/>
        <w:rPr>
          <w:sz w:val="44"/>
          <w:szCs w:val="44"/>
        </w:rPr>
      </w:pPr>
    </w:p>
    <w:p w:rsidR="002E41EE" w:rsidRPr="004F6422" w:rsidRDefault="00837343" w:rsidP="00837343">
      <w:pPr>
        <w:pStyle w:val="a5"/>
        <w:shd w:val="clear" w:color="auto" w:fill="FFFFFF"/>
        <w:spacing w:before="0" w:beforeAutospacing="0" w:after="225" w:afterAutospacing="0" w:line="560" w:lineRule="exact"/>
        <w:ind w:firstLineChars="100" w:firstLine="320"/>
        <w:rPr>
          <w:sz w:val="32"/>
          <w:szCs w:val="32"/>
        </w:rPr>
      </w:pPr>
      <w:r w:rsidRPr="00837343">
        <w:rPr>
          <w:rFonts w:hint="eastAsia"/>
          <w:sz w:val="32"/>
          <w:szCs w:val="32"/>
        </w:rPr>
        <w:t>财税[2014]13号</w:t>
      </w:r>
      <w:r>
        <w:rPr>
          <w:rFonts w:hint="eastAsia"/>
          <w:sz w:val="32"/>
          <w:szCs w:val="32"/>
        </w:rPr>
        <w:t>           </w:t>
      </w:r>
      <w:r w:rsidR="002E41EE" w:rsidRPr="004F6422">
        <w:rPr>
          <w:rFonts w:hint="eastAsia"/>
          <w:sz w:val="32"/>
          <w:szCs w:val="32"/>
        </w:rPr>
        <w:t>2014-01-29</w:t>
      </w:r>
    </w:p>
    <w:p w:rsidR="002E41EE" w:rsidRPr="004F6422" w:rsidRDefault="002E41EE" w:rsidP="004F6422">
      <w:pPr>
        <w:pStyle w:val="a5"/>
        <w:shd w:val="clear" w:color="auto" w:fill="FFFFFF"/>
        <w:spacing w:before="0" w:beforeAutospacing="0" w:after="225" w:afterAutospacing="0" w:line="560" w:lineRule="exact"/>
        <w:rPr>
          <w:sz w:val="32"/>
          <w:szCs w:val="32"/>
        </w:rPr>
      </w:pPr>
      <w:r w:rsidRPr="004F6422">
        <w:rPr>
          <w:rFonts w:hint="eastAsia"/>
          <w:sz w:val="32"/>
          <w:szCs w:val="32"/>
        </w:rPr>
        <w:t>各省、自治区、直辖市、计划单列市财政厅（局）、国家税务局、地方税务局，新疆生产建设兵团财务局：</w:t>
      </w:r>
      <w:r w:rsidRPr="004F6422">
        <w:rPr>
          <w:rFonts w:hint="eastAsia"/>
          <w:sz w:val="32"/>
          <w:szCs w:val="32"/>
        </w:rPr>
        <w:br/>
        <w:t xml:space="preserve">　　根据《中华人民共和国企业所得税法》（以下简称《企业所得税法》）第二十六条及《中华人民共和国企业所得税法实施条例》（以下简称《实施条例》）第八十四条的规定，现对非营利组织免税资格认定管理有关问题明确如下：</w:t>
      </w:r>
      <w:r w:rsidRPr="004F6422">
        <w:rPr>
          <w:rFonts w:hint="eastAsia"/>
          <w:sz w:val="32"/>
          <w:szCs w:val="32"/>
        </w:rPr>
        <w:br/>
        <w:t xml:space="preserve">　　一、依据本通知认定的符合条件的非营利组织，必须同时满足以下条件：</w:t>
      </w:r>
      <w:r w:rsidRPr="004F6422">
        <w:rPr>
          <w:rFonts w:hint="eastAsia"/>
          <w:sz w:val="32"/>
          <w:szCs w:val="32"/>
        </w:rPr>
        <w:br/>
        <w:t xml:space="preserve">　　（一）依照国家有关法律法规设立或登记的事业单位、社会团体、基金会、民办非企业单位、宗教活动场所以及财政部、国家税务总局认定的其他组织；</w:t>
      </w:r>
      <w:r w:rsidRPr="004F6422">
        <w:rPr>
          <w:rFonts w:hint="eastAsia"/>
          <w:sz w:val="32"/>
          <w:szCs w:val="32"/>
        </w:rPr>
        <w:br/>
        <w:t xml:space="preserve">　　（二）从事公益性或者非营利性活动；</w:t>
      </w:r>
      <w:r w:rsidRPr="004F6422">
        <w:rPr>
          <w:rFonts w:hint="eastAsia"/>
          <w:sz w:val="32"/>
          <w:szCs w:val="32"/>
        </w:rPr>
        <w:br/>
        <w:t xml:space="preserve">　　（三）取得的收入除用于与该组织有关的、合理的支出外，全部用于登记核定或者章程规定的公益性或者非营利性事业；</w:t>
      </w:r>
      <w:r w:rsidRPr="004F6422">
        <w:rPr>
          <w:rFonts w:hint="eastAsia"/>
          <w:sz w:val="32"/>
          <w:szCs w:val="32"/>
        </w:rPr>
        <w:br/>
        <w:t xml:space="preserve">　　（四）财产及其</w:t>
      </w:r>
      <w:proofErr w:type="gramStart"/>
      <w:r w:rsidRPr="004F6422">
        <w:rPr>
          <w:rFonts w:hint="eastAsia"/>
          <w:sz w:val="32"/>
          <w:szCs w:val="32"/>
        </w:rPr>
        <w:t>孳息不</w:t>
      </w:r>
      <w:proofErr w:type="gramEnd"/>
      <w:r w:rsidRPr="004F6422">
        <w:rPr>
          <w:rFonts w:hint="eastAsia"/>
          <w:sz w:val="32"/>
          <w:szCs w:val="32"/>
        </w:rPr>
        <w:t>用于分配，但不包括合理的工资薪金支出；</w:t>
      </w:r>
      <w:r w:rsidRPr="004F6422">
        <w:rPr>
          <w:rFonts w:hint="eastAsia"/>
          <w:sz w:val="32"/>
          <w:szCs w:val="32"/>
        </w:rPr>
        <w:br/>
        <w:t xml:space="preserve">　　（五）按照登记核定或者章程规定，该组织注销后的剩</w:t>
      </w:r>
      <w:r w:rsidRPr="004F6422">
        <w:rPr>
          <w:rFonts w:hint="eastAsia"/>
          <w:sz w:val="32"/>
          <w:szCs w:val="32"/>
        </w:rPr>
        <w:lastRenderedPageBreak/>
        <w:t>余财产用于公益性或者非营利性目的，或者由登记管理机关转赠给与该组织性质、宗旨相同的组织，并向社会公告；</w:t>
      </w:r>
      <w:r w:rsidRPr="004F6422">
        <w:rPr>
          <w:rFonts w:hint="eastAsia"/>
          <w:sz w:val="32"/>
          <w:szCs w:val="32"/>
        </w:rPr>
        <w:br/>
        <w:t xml:space="preserve">　　（六）投入人对投入该组织的财产不保留或者享有任何财产权利，本款所称投入人是指除各级人民政府及其部门外的法人、自然人和其他组织；</w:t>
      </w:r>
      <w:r w:rsidRPr="004F6422">
        <w:rPr>
          <w:rFonts w:hint="eastAsia"/>
          <w:sz w:val="32"/>
          <w:szCs w:val="32"/>
        </w:rPr>
        <w:br/>
        <w:t xml:space="preserve">　　（七）工作人员工资福利开支控制在规定的比例内，</w:t>
      </w:r>
      <w:proofErr w:type="gramStart"/>
      <w:r w:rsidRPr="004F6422">
        <w:rPr>
          <w:rFonts w:hint="eastAsia"/>
          <w:sz w:val="32"/>
          <w:szCs w:val="32"/>
        </w:rPr>
        <w:t>不</w:t>
      </w:r>
      <w:proofErr w:type="gramEnd"/>
      <w:r w:rsidRPr="004F6422">
        <w:rPr>
          <w:rFonts w:hint="eastAsia"/>
          <w:sz w:val="32"/>
          <w:szCs w:val="32"/>
        </w:rPr>
        <w:t>变相分配该组织的财产，其中：工作人员平均工资薪金水平不得超过上年度税务登记所在地人均工资水平的两倍，工作人员福利按照国家有关规定执行；</w:t>
      </w:r>
      <w:r w:rsidRPr="004F6422">
        <w:rPr>
          <w:rFonts w:hint="eastAsia"/>
          <w:sz w:val="32"/>
          <w:szCs w:val="32"/>
        </w:rPr>
        <w:br/>
        <w:t xml:space="preserve">　　（八）除当年新设立或登记的事业单位、社会团体、基金会及民办非企业单位外，事业单位、社会团体、基金会及民办非企业单位申请前年度的检查结论为“合格”；</w:t>
      </w:r>
      <w:r w:rsidRPr="004F6422">
        <w:rPr>
          <w:rFonts w:hint="eastAsia"/>
          <w:sz w:val="32"/>
          <w:szCs w:val="32"/>
        </w:rPr>
        <w:br/>
        <w:t xml:space="preserve">　　（九）对取得的应纳税收入及其有关的成本、费用、损失应与免税收入及其有关的成本、费用、损失分别核算。</w:t>
      </w:r>
    </w:p>
    <w:p w:rsidR="002E41EE" w:rsidRPr="004F6422" w:rsidRDefault="002E41EE" w:rsidP="004F6422">
      <w:pPr>
        <w:pStyle w:val="a5"/>
        <w:shd w:val="clear" w:color="auto" w:fill="FFFFFF"/>
        <w:spacing w:before="0" w:beforeAutospacing="0" w:after="225" w:afterAutospacing="0" w:line="560" w:lineRule="exact"/>
        <w:rPr>
          <w:sz w:val="32"/>
          <w:szCs w:val="32"/>
        </w:rPr>
      </w:pPr>
      <w:r w:rsidRPr="004F6422">
        <w:rPr>
          <w:rFonts w:hint="eastAsia"/>
          <w:sz w:val="32"/>
          <w:szCs w:val="32"/>
        </w:rPr>
        <w:t xml:space="preserve">　　二、经省级（含省级）以上登记管理机关批准设立或登记的非营利组织，凡符合规定条件的，应向其所在地省级税务主管机关提出免税资格申请，并提供本通知规定的相关材料；经市（地）级或县级登记管理机关批准设立或登记的非营利组织，凡符合规定条件的，分别向其所在地市（地）级或县级税务主管机关提出免税资格申请，并提供本通知规定的相关材料。</w:t>
      </w:r>
      <w:r w:rsidRPr="004F6422">
        <w:rPr>
          <w:rFonts w:hint="eastAsia"/>
          <w:sz w:val="32"/>
          <w:szCs w:val="32"/>
        </w:rPr>
        <w:br/>
        <w:t xml:space="preserve">　　财政、税务部门按照上述管理权限，对非营利组织享受免税的资格联合进行审核确认，并定期予以公布。</w:t>
      </w:r>
    </w:p>
    <w:p w:rsidR="002E41EE" w:rsidRPr="004F6422" w:rsidRDefault="002E41EE" w:rsidP="004F6422">
      <w:pPr>
        <w:pStyle w:val="a5"/>
        <w:shd w:val="clear" w:color="auto" w:fill="FFFFFF"/>
        <w:spacing w:before="0" w:beforeAutospacing="0" w:after="225" w:afterAutospacing="0" w:line="560" w:lineRule="exact"/>
        <w:rPr>
          <w:sz w:val="32"/>
          <w:szCs w:val="32"/>
        </w:rPr>
      </w:pPr>
      <w:r w:rsidRPr="004F6422">
        <w:rPr>
          <w:rFonts w:hint="eastAsia"/>
          <w:sz w:val="32"/>
          <w:szCs w:val="32"/>
        </w:rPr>
        <w:lastRenderedPageBreak/>
        <w:t xml:space="preserve">　　三、申请享受免税资格的非营利组织，需报送以下材料：</w:t>
      </w:r>
      <w:r w:rsidRPr="004F6422">
        <w:rPr>
          <w:rFonts w:hint="eastAsia"/>
          <w:sz w:val="32"/>
          <w:szCs w:val="32"/>
        </w:rPr>
        <w:br/>
        <w:t xml:space="preserve">　　（一）申请报告；</w:t>
      </w:r>
      <w:r w:rsidRPr="004F6422">
        <w:rPr>
          <w:rFonts w:hint="eastAsia"/>
          <w:sz w:val="32"/>
          <w:szCs w:val="32"/>
        </w:rPr>
        <w:br/>
        <w:t xml:space="preserve">　　（二）事业单位、社会团体、基金会、民办非企业单位的组织章程或宗教活动场所的管理制度；</w:t>
      </w:r>
      <w:r w:rsidRPr="004F6422">
        <w:rPr>
          <w:rFonts w:hint="eastAsia"/>
          <w:sz w:val="32"/>
          <w:szCs w:val="32"/>
        </w:rPr>
        <w:br/>
        <w:t xml:space="preserve">　　（三）税务登记证复印件；</w:t>
      </w:r>
      <w:r w:rsidRPr="004F6422">
        <w:rPr>
          <w:rFonts w:hint="eastAsia"/>
          <w:sz w:val="32"/>
          <w:szCs w:val="32"/>
        </w:rPr>
        <w:br/>
        <w:t xml:space="preserve">　　（四）非营利组织登记证复印件；</w:t>
      </w:r>
      <w:r w:rsidRPr="004F6422">
        <w:rPr>
          <w:rFonts w:hint="eastAsia"/>
          <w:sz w:val="32"/>
          <w:szCs w:val="32"/>
        </w:rPr>
        <w:br/>
        <w:t xml:space="preserve">　　（五）申请前年度的资金来源及使用情况、公益活动和非营利活动的明细情况；</w:t>
      </w:r>
      <w:r w:rsidRPr="004F6422">
        <w:rPr>
          <w:rFonts w:hint="eastAsia"/>
          <w:sz w:val="32"/>
          <w:szCs w:val="32"/>
        </w:rPr>
        <w:br/>
        <w:t xml:space="preserve">　　（六）具有资质的中介机构</w:t>
      </w:r>
      <w:proofErr w:type="gramStart"/>
      <w:r w:rsidRPr="004F6422">
        <w:rPr>
          <w:rFonts w:hint="eastAsia"/>
          <w:sz w:val="32"/>
          <w:szCs w:val="32"/>
        </w:rPr>
        <w:t>鉴证</w:t>
      </w:r>
      <w:proofErr w:type="gramEnd"/>
      <w:r w:rsidRPr="004F6422">
        <w:rPr>
          <w:rFonts w:hint="eastAsia"/>
          <w:sz w:val="32"/>
          <w:szCs w:val="32"/>
        </w:rPr>
        <w:t>的申请前会计年度的财务报表和审计报告；</w:t>
      </w:r>
      <w:r w:rsidRPr="004F6422">
        <w:rPr>
          <w:rFonts w:hint="eastAsia"/>
          <w:sz w:val="32"/>
          <w:szCs w:val="32"/>
        </w:rPr>
        <w:br/>
        <w:t xml:space="preserve">　　（七）登记管理机关出具的事业单位、社会团体、基金会、民办非企业单位申请前年度的年度检查结论；</w:t>
      </w:r>
      <w:r w:rsidRPr="004F6422">
        <w:rPr>
          <w:rFonts w:hint="eastAsia"/>
          <w:sz w:val="32"/>
          <w:szCs w:val="32"/>
        </w:rPr>
        <w:br/>
        <w:t xml:space="preserve">　　（八）财政、税务部门要求提供的其他材料。</w:t>
      </w:r>
    </w:p>
    <w:p w:rsidR="002E41EE" w:rsidRPr="004F6422" w:rsidRDefault="002E41EE" w:rsidP="004F6422">
      <w:pPr>
        <w:pStyle w:val="a5"/>
        <w:shd w:val="clear" w:color="auto" w:fill="FFFFFF"/>
        <w:spacing w:before="0" w:beforeAutospacing="0" w:after="225" w:afterAutospacing="0" w:line="560" w:lineRule="exact"/>
        <w:rPr>
          <w:sz w:val="32"/>
          <w:szCs w:val="32"/>
        </w:rPr>
      </w:pPr>
      <w:r w:rsidRPr="004F6422">
        <w:rPr>
          <w:rFonts w:hint="eastAsia"/>
          <w:sz w:val="32"/>
          <w:szCs w:val="32"/>
        </w:rPr>
        <w:t xml:space="preserve">　　四、非营利组织免税优惠资格的有效期为五年。非营利组织应在期满前三个月内提出复审申请，不提出复审申请或复审不合格的，其享受免税优惠的资格到期自动失效。</w:t>
      </w:r>
      <w:r w:rsidRPr="004F6422">
        <w:rPr>
          <w:rFonts w:hint="eastAsia"/>
          <w:sz w:val="32"/>
          <w:szCs w:val="32"/>
        </w:rPr>
        <w:br/>
        <w:t xml:space="preserve">　　非营利组织免税资格复审，按照初次申请免税优惠资格的规定办理。</w:t>
      </w:r>
    </w:p>
    <w:p w:rsidR="002E41EE" w:rsidRPr="004F6422" w:rsidRDefault="002E41EE" w:rsidP="004F6422">
      <w:pPr>
        <w:pStyle w:val="a5"/>
        <w:shd w:val="clear" w:color="auto" w:fill="FFFFFF"/>
        <w:spacing w:before="0" w:beforeAutospacing="0" w:after="225" w:afterAutospacing="0" w:line="560" w:lineRule="exact"/>
        <w:rPr>
          <w:sz w:val="32"/>
          <w:szCs w:val="32"/>
        </w:rPr>
      </w:pPr>
      <w:r w:rsidRPr="004F6422">
        <w:rPr>
          <w:rFonts w:hint="eastAsia"/>
          <w:sz w:val="32"/>
          <w:szCs w:val="32"/>
        </w:rPr>
        <w:t xml:space="preserve">　　五、非营利组织必须按照《中华人民共和国税收征收管理法》（以下简称《税收征管法》）及《中华人民共和国税收征收管理法实施细则》（以下简称《实施细则》）等有关规定，办理税务登记，按期进行纳税申报。取得免税资格的非营利组织应按照规定向主管税务机关办理免税手续，免税条件发生变化的，应当自发生变化之日起十五日内向主管税</w:t>
      </w:r>
      <w:r w:rsidRPr="004F6422">
        <w:rPr>
          <w:rFonts w:hint="eastAsia"/>
          <w:sz w:val="32"/>
          <w:szCs w:val="32"/>
        </w:rPr>
        <w:lastRenderedPageBreak/>
        <w:t>务机关报告；不再符合免税条件的，应当依法履行纳税义务；未依法纳税的，主管税务机关应当予以追缴。取得免税资格的非营利组织注销时，剩余财产处置违反本通知第一条第五项规定的，主管税务机关应追缴其应纳企业所得税款。</w:t>
      </w:r>
      <w:r w:rsidRPr="004F6422">
        <w:rPr>
          <w:rFonts w:hint="eastAsia"/>
          <w:sz w:val="32"/>
          <w:szCs w:val="32"/>
        </w:rPr>
        <w:br/>
        <w:t xml:space="preserve">　　主管税务机关应根据非营利组织报送的纳税申报表及有关资料进行审查，当年符合《企业所得税法》及其《实施条例》和有关规定免税条件的收入，免予征收企业所得税；当年不符合免税条件的收入，照章征收企业所得税。主管税务机关在执行税收优惠政策过程中，发现非营利组织不再具备本通知规定的免税条件的，应及时报告核准该非营利组织免税资格的财政、税务部门，由其进行复核。</w:t>
      </w:r>
      <w:r w:rsidRPr="004F6422">
        <w:rPr>
          <w:rFonts w:hint="eastAsia"/>
          <w:sz w:val="32"/>
          <w:szCs w:val="32"/>
        </w:rPr>
        <w:br/>
        <w:t xml:space="preserve">　　核准非营利组织免税资格的财政、税务部门根据本通知规定的管理权限，对非营利组织的免税优惠资格进行复核，复核不合格的，取消其享受免税优惠的资格。</w:t>
      </w:r>
    </w:p>
    <w:p w:rsidR="002E41EE" w:rsidRPr="004F6422" w:rsidRDefault="002E41EE" w:rsidP="004F6422">
      <w:pPr>
        <w:pStyle w:val="a5"/>
        <w:shd w:val="clear" w:color="auto" w:fill="FFFFFF"/>
        <w:spacing w:before="0" w:beforeAutospacing="0" w:after="225" w:afterAutospacing="0" w:line="560" w:lineRule="exact"/>
        <w:rPr>
          <w:sz w:val="32"/>
          <w:szCs w:val="32"/>
        </w:rPr>
      </w:pPr>
      <w:r w:rsidRPr="004F6422">
        <w:rPr>
          <w:rFonts w:hint="eastAsia"/>
          <w:sz w:val="32"/>
          <w:szCs w:val="32"/>
        </w:rPr>
        <w:t xml:space="preserve">　　六、已认定的享受免税优惠政策的非营利组织有下述情况之一的，应取消其资格：</w:t>
      </w:r>
      <w:r w:rsidRPr="004F6422">
        <w:rPr>
          <w:rFonts w:hint="eastAsia"/>
          <w:sz w:val="32"/>
          <w:szCs w:val="32"/>
        </w:rPr>
        <w:br/>
        <w:t xml:space="preserve">　　（一）事业单位、社会团体、基金会及民办非企业单位逾期未参加年检或年度检查结论为“不合格”的；</w:t>
      </w:r>
      <w:r w:rsidRPr="004F6422">
        <w:rPr>
          <w:rFonts w:hint="eastAsia"/>
          <w:sz w:val="32"/>
          <w:szCs w:val="32"/>
        </w:rPr>
        <w:br/>
        <w:t xml:space="preserve">　　（二）在申请认定过程中提供虚假信息的；</w:t>
      </w:r>
      <w:r w:rsidRPr="004F6422">
        <w:rPr>
          <w:rFonts w:hint="eastAsia"/>
          <w:sz w:val="32"/>
          <w:szCs w:val="32"/>
        </w:rPr>
        <w:br/>
        <w:t xml:space="preserve">　　（三）有逃避缴纳税款或帮助他人逃避缴纳税款行为的；</w:t>
      </w:r>
      <w:r w:rsidRPr="004F6422">
        <w:rPr>
          <w:rFonts w:hint="eastAsia"/>
          <w:sz w:val="32"/>
          <w:szCs w:val="32"/>
        </w:rPr>
        <w:br/>
        <w:t xml:space="preserve">　　（四）通过关联交易或非关联交易和服务活动，变相转移、隐匿、分配该组织财产的；</w:t>
      </w:r>
      <w:r w:rsidRPr="004F6422">
        <w:rPr>
          <w:rFonts w:hint="eastAsia"/>
          <w:sz w:val="32"/>
          <w:szCs w:val="32"/>
        </w:rPr>
        <w:br/>
        <w:t xml:space="preserve">　　（五）因违反《税收征管法》及其《实施细则》而受到税务机关处罚的；</w:t>
      </w:r>
      <w:r w:rsidRPr="004F6422">
        <w:rPr>
          <w:rFonts w:hint="eastAsia"/>
          <w:sz w:val="32"/>
          <w:szCs w:val="32"/>
        </w:rPr>
        <w:br/>
      </w:r>
      <w:r w:rsidRPr="004F6422">
        <w:rPr>
          <w:rFonts w:hint="eastAsia"/>
          <w:sz w:val="32"/>
          <w:szCs w:val="32"/>
        </w:rPr>
        <w:lastRenderedPageBreak/>
        <w:t xml:space="preserve">　　（六）受到登记管理机关处罚的。</w:t>
      </w:r>
      <w:r w:rsidRPr="004F6422">
        <w:rPr>
          <w:rFonts w:hint="eastAsia"/>
          <w:sz w:val="32"/>
          <w:szCs w:val="32"/>
        </w:rPr>
        <w:br/>
        <w:t xml:space="preserve">　　因上述第（一）项规定的情形被取消免税优惠资格的非营利组织，财政、税务部门在一年内不再受理该组织的认定申请；因上述规定的除第（一）项以外的其他情形被取消免税优惠资格的非营利组织，财政、税务部门在五年内不再受理该组织的认定申请。</w:t>
      </w:r>
    </w:p>
    <w:p w:rsidR="002E41EE" w:rsidRPr="004F6422" w:rsidRDefault="002E41EE" w:rsidP="004F6422">
      <w:pPr>
        <w:pStyle w:val="a5"/>
        <w:shd w:val="clear" w:color="auto" w:fill="FFFFFF"/>
        <w:spacing w:before="0" w:beforeAutospacing="0" w:after="225" w:afterAutospacing="0" w:line="560" w:lineRule="exact"/>
        <w:rPr>
          <w:sz w:val="32"/>
          <w:szCs w:val="32"/>
        </w:rPr>
      </w:pPr>
      <w:r w:rsidRPr="004F6422">
        <w:rPr>
          <w:rFonts w:hint="eastAsia"/>
          <w:sz w:val="32"/>
          <w:szCs w:val="32"/>
        </w:rPr>
        <w:t xml:space="preserve">　　七、本通知自2013年1月1日起执行。《</w:t>
      </w:r>
      <w:hyperlink r:id="rId6" w:history="1">
        <w:r w:rsidRPr="004F6422">
          <w:rPr>
            <w:rStyle w:val="a6"/>
            <w:rFonts w:hint="eastAsia"/>
            <w:color w:val="auto"/>
            <w:sz w:val="32"/>
            <w:szCs w:val="32"/>
          </w:rPr>
          <w:t>财政部 国家税务总局关于非营利组织免税资格认定管理有关问题的通知</w:t>
        </w:r>
      </w:hyperlink>
      <w:r w:rsidRPr="004F6422">
        <w:rPr>
          <w:rFonts w:hint="eastAsia"/>
          <w:sz w:val="32"/>
          <w:szCs w:val="32"/>
        </w:rPr>
        <w:t>》（</w:t>
      </w:r>
      <w:hyperlink r:id="rId7" w:history="1">
        <w:r w:rsidRPr="004F6422">
          <w:rPr>
            <w:rStyle w:val="a6"/>
            <w:rFonts w:hint="eastAsia"/>
            <w:color w:val="auto"/>
            <w:sz w:val="32"/>
            <w:szCs w:val="32"/>
          </w:rPr>
          <w:t>财税[2009]123号</w:t>
        </w:r>
      </w:hyperlink>
      <w:r w:rsidRPr="004F6422">
        <w:rPr>
          <w:rFonts w:hint="eastAsia"/>
          <w:sz w:val="32"/>
          <w:szCs w:val="32"/>
        </w:rPr>
        <w:t>）同时废止。</w:t>
      </w:r>
    </w:p>
    <w:p w:rsidR="00335DCB" w:rsidRPr="004F6422" w:rsidRDefault="00335DCB" w:rsidP="004F6422">
      <w:pPr>
        <w:spacing w:line="560" w:lineRule="exact"/>
        <w:rPr>
          <w:sz w:val="32"/>
          <w:szCs w:val="32"/>
        </w:rPr>
      </w:pPr>
    </w:p>
    <w:sectPr w:rsidR="00335DCB" w:rsidRPr="004F6422" w:rsidSect="00B5343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C39" w:rsidRDefault="001E0C39" w:rsidP="002E41EE">
      <w:r>
        <w:separator/>
      </w:r>
    </w:p>
  </w:endnote>
  <w:endnote w:type="continuationSeparator" w:id="0">
    <w:p w:rsidR="001E0C39" w:rsidRDefault="001E0C39" w:rsidP="002E41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5859575"/>
      <w:docPartObj>
        <w:docPartGallery w:val="Page Numbers (Bottom of Page)"/>
        <w:docPartUnique/>
      </w:docPartObj>
    </w:sdtPr>
    <w:sdtContent>
      <w:p w:rsidR="004F6422" w:rsidRDefault="00B53439">
        <w:pPr>
          <w:pStyle w:val="a4"/>
          <w:jc w:val="right"/>
        </w:pPr>
        <w:r>
          <w:fldChar w:fldCharType="begin"/>
        </w:r>
        <w:r w:rsidR="004F6422">
          <w:instrText>PAGE   \* MERGEFORMAT</w:instrText>
        </w:r>
        <w:r>
          <w:fldChar w:fldCharType="separate"/>
        </w:r>
        <w:r w:rsidR="00911940" w:rsidRPr="00911940">
          <w:rPr>
            <w:noProof/>
            <w:lang w:val="zh-CN"/>
          </w:rPr>
          <w:t>5</w:t>
        </w:r>
        <w:r>
          <w:fldChar w:fldCharType="end"/>
        </w:r>
      </w:p>
    </w:sdtContent>
  </w:sdt>
  <w:p w:rsidR="004F6422" w:rsidRDefault="004F642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C39" w:rsidRDefault="001E0C39" w:rsidP="002E41EE">
      <w:r>
        <w:separator/>
      </w:r>
    </w:p>
  </w:footnote>
  <w:footnote w:type="continuationSeparator" w:id="0">
    <w:p w:rsidR="001E0C39" w:rsidRDefault="001E0C39" w:rsidP="002E41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41EE"/>
    <w:rsid w:val="001E0C39"/>
    <w:rsid w:val="002E41EE"/>
    <w:rsid w:val="00335DCB"/>
    <w:rsid w:val="004F6422"/>
    <w:rsid w:val="005B4268"/>
    <w:rsid w:val="00837343"/>
    <w:rsid w:val="00911940"/>
    <w:rsid w:val="00B10210"/>
    <w:rsid w:val="00B534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34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41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41EE"/>
    <w:rPr>
      <w:sz w:val="18"/>
      <w:szCs w:val="18"/>
    </w:rPr>
  </w:style>
  <w:style w:type="paragraph" w:styleId="a4">
    <w:name w:val="footer"/>
    <w:basedOn w:val="a"/>
    <w:link w:val="Char0"/>
    <w:uiPriority w:val="99"/>
    <w:unhideWhenUsed/>
    <w:rsid w:val="002E41EE"/>
    <w:pPr>
      <w:tabs>
        <w:tab w:val="center" w:pos="4153"/>
        <w:tab w:val="right" w:pos="8306"/>
      </w:tabs>
      <w:snapToGrid w:val="0"/>
      <w:jc w:val="left"/>
    </w:pPr>
    <w:rPr>
      <w:sz w:val="18"/>
      <w:szCs w:val="18"/>
    </w:rPr>
  </w:style>
  <w:style w:type="character" w:customStyle="1" w:styleId="Char0">
    <w:name w:val="页脚 Char"/>
    <w:basedOn w:val="a0"/>
    <w:link w:val="a4"/>
    <w:uiPriority w:val="99"/>
    <w:rsid w:val="002E41EE"/>
    <w:rPr>
      <w:sz w:val="18"/>
      <w:szCs w:val="18"/>
    </w:rPr>
  </w:style>
  <w:style w:type="paragraph" w:styleId="a5">
    <w:name w:val="Normal (Web)"/>
    <w:basedOn w:val="a"/>
    <w:uiPriority w:val="99"/>
    <w:semiHidden/>
    <w:unhideWhenUsed/>
    <w:rsid w:val="002E41EE"/>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E41E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439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shui5.cn/article/13/4289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hui5.cn/article/13/42893.html" TargetMode="Externa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362</Words>
  <Characters>2069</Characters>
  <Application>Microsoft Office Word</Application>
  <DocSecurity>0</DocSecurity>
  <Lines>17</Lines>
  <Paragraphs>4</Paragraphs>
  <ScaleCrop>false</ScaleCrop>
  <Company>P R C</Company>
  <LinksUpToDate>false</LinksUpToDate>
  <CharactersWithSpaces>2427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2017-12-21T03:11:00Z</dcterms:created>
  <dcterms:modified xsi:type="dcterms:W3CDTF">2017-12-21T03:11:00Z</dcterms:modified>
</cp:coreProperties>
</file>